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1549" w:tblpY="47"/>
        <w:tblW w:w="9318" w:type="dxa"/>
        <w:tblLook w:val="04A0" w:firstRow="1" w:lastRow="0" w:firstColumn="1" w:lastColumn="0" w:noHBand="0" w:noVBand="1"/>
      </w:tblPr>
      <w:tblGrid>
        <w:gridCol w:w="4354"/>
        <w:gridCol w:w="4964"/>
      </w:tblGrid>
      <w:tr w:rsidR="009F403D" w:rsidTr="00FD0D34">
        <w:tc>
          <w:tcPr>
            <w:tcW w:w="4354" w:type="dxa"/>
          </w:tcPr>
          <w:p w:rsidR="009F403D" w:rsidRPr="0075292C" w:rsidRDefault="009F403D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  <w:t>Strengths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Critical thinking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Analytical approach to tasks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Timeliness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 xml:space="preserve">Evaluative 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Intuitive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Responsible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Ethical attitude as a means of personal value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Numerical expertise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Boutique Investment banking experience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Data analysis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Business Research skills</w:t>
            </w:r>
          </w:p>
          <w:p w:rsidR="009F403D" w:rsidRPr="001B12D7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Family</w:t>
            </w:r>
          </w:p>
        </w:tc>
        <w:tc>
          <w:tcPr>
            <w:tcW w:w="4964" w:type="dxa"/>
          </w:tcPr>
          <w:p w:rsidR="009F403D" w:rsidRPr="0075292C" w:rsidRDefault="009F403D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  <w:t>Weaknesses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  <w:t>Self-criticism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Confidence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Overly emotional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May be distracted by external influence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Susceptible to social criticism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Procrastination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 xml:space="preserve">Task </w:t>
            </w:r>
            <w:proofErr w:type="spellStart"/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Prioritisation</w:t>
            </w:r>
            <w:proofErr w:type="spellEnd"/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Task Overload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Last-minute rushing</w:t>
            </w:r>
          </w:p>
          <w:p w:rsidR="009F403D" w:rsidRDefault="009F403D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</w:p>
        </w:tc>
      </w:tr>
      <w:tr w:rsidR="009F403D" w:rsidTr="00FD0D34">
        <w:tc>
          <w:tcPr>
            <w:tcW w:w="4354" w:type="dxa"/>
          </w:tcPr>
          <w:p w:rsidR="009F403D" w:rsidRPr="0075292C" w:rsidRDefault="009F403D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  <w:t>Opportunities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Opportunities to attain professional qualifications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Apprenticeships in industry training programs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Graduate roles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Entrepreneurial prospects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Prospects in carrying out research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Experience in start-ups may provide inspiration to grow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Opportunities to gain experience in start-ups</w:t>
            </w:r>
          </w:p>
          <w:p w:rsidR="009F403D" w:rsidRPr="001B12D7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 xml:space="preserve">Interest in pursuing Doctoral </w:t>
            </w:r>
            <w:proofErr w:type="spellStart"/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4964" w:type="dxa"/>
          </w:tcPr>
          <w:p w:rsidR="009F403D" w:rsidRPr="0075292C" w:rsidRDefault="009F403D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  <w:t>Threats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bCs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bCs/>
                <w:color w:val="281F18"/>
                <w:sz w:val="20"/>
                <w:szCs w:val="20"/>
              </w:rPr>
              <w:t>Changes to regulations for International students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Intensity of competition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proofErr w:type="spellStart"/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Trustbuilding</w:t>
            </w:r>
            <w:proofErr w:type="spellEnd"/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 xml:space="preserve"> as a potential entrepreneurial</w:t>
            </w:r>
          </w:p>
          <w:p w:rsidR="009F403D" w:rsidRPr="0075292C" w:rsidRDefault="009F403D" w:rsidP="009F403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40" w:lineRule="atLeast"/>
              <w:rPr>
                <w:rFonts w:ascii="Calibri" w:hAnsi="Calibri" w:cs="Arial"/>
                <w:color w:val="281F18"/>
                <w:sz w:val="20"/>
                <w:szCs w:val="20"/>
              </w:rPr>
            </w:pPr>
            <w:r w:rsidRPr="0075292C">
              <w:rPr>
                <w:rFonts w:ascii="Calibri" w:hAnsi="Calibri" w:cs="Arial"/>
                <w:color w:val="281F18"/>
                <w:sz w:val="20"/>
                <w:szCs w:val="20"/>
              </w:rPr>
              <w:t>Economic conditions being detrimental to start-up climate and entrepreneurial aspirations</w:t>
            </w:r>
          </w:p>
          <w:p w:rsidR="009F403D" w:rsidRPr="0075292C" w:rsidRDefault="009F403D" w:rsidP="00FD0D34">
            <w:pPr>
              <w:pStyle w:val="ListParagraph"/>
              <w:shd w:val="clear" w:color="auto" w:fill="FFFFFF"/>
              <w:spacing w:after="240" w:line="240" w:lineRule="atLeast"/>
              <w:ind w:left="510"/>
              <w:rPr>
                <w:rFonts w:ascii="Calibri" w:hAnsi="Calibri" w:cs="Arial"/>
                <w:color w:val="281F18"/>
                <w:sz w:val="20"/>
                <w:szCs w:val="20"/>
              </w:rPr>
            </w:pPr>
          </w:p>
          <w:p w:rsidR="009F403D" w:rsidRDefault="009F403D" w:rsidP="00FD0D34">
            <w:pPr>
              <w:spacing w:after="240" w:line="240" w:lineRule="atLeast"/>
              <w:rPr>
                <w:rFonts w:ascii="Calibri" w:hAnsi="Calibri" w:cs="Arial"/>
                <w:b/>
                <w:bCs/>
                <w:color w:val="281F18"/>
                <w:sz w:val="20"/>
                <w:szCs w:val="20"/>
              </w:rPr>
            </w:pPr>
          </w:p>
        </w:tc>
      </w:tr>
    </w:tbl>
    <w:p w:rsidR="00A93B2D" w:rsidRDefault="00A93B2D"/>
    <w:p w:rsidR="009F403D" w:rsidRDefault="009F403D"/>
    <w:p w:rsidR="009F403D" w:rsidRDefault="009F403D" w:rsidP="009F403D">
      <w:pPr>
        <w:jc w:val="center"/>
      </w:pPr>
      <w:r>
        <w:t>SWOT</w:t>
      </w:r>
      <w:bookmarkStart w:id="0" w:name="_GoBack"/>
      <w:bookmarkEnd w:id="0"/>
      <w:r>
        <w:t xml:space="preserve"> Analysis as part of PPD Portfolio</w:t>
      </w:r>
    </w:p>
    <w:sectPr w:rsidR="009F403D" w:rsidSect="00077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25732"/>
    <w:multiLevelType w:val="hybridMultilevel"/>
    <w:tmpl w:val="B19C2F20"/>
    <w:lvl w:ilvl="0" w:tplc="8ED86BFA">
      <w:start w:val="1"/>
      <w:numFmt w:val="bullet"/>
      <w:lvlText w:val="-"/>
      <w:lvlJc w:val="left"/>
      <w:pPr>
        <w:ind w:left="5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3D"/>
    <w:rsid w:val="00077181"/>
    <w:rsid w:val="009F403D"/>
    <w:rsid w:val="00A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A4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3D"/>
    <w:pPr>
      <w:ind w:left="720"/>
      <w:contextualSpacing/>
    </w:pPr>
  </w:style>
  <w:style w:type="table" w:styleId="TableGrid">
    <w:name w:val="Table Grid"/>
    <w:basedOn w:val="TableNormal"/>
    <w:uiPriority w:val="59"/>
    <w:rsid w:val="009F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3D"/>
    <w:pPr>
      <w:ind w:left="720"/>
      <w:contextualSpacing/>
    </w:pPr>
  </w:style>
  <w:style w:type="table" w:styleId="TableGrid">
    <w:name w:val="Table Grid"/>
    <w:basedOn w:val="TableNormal"/>
    <w:uiPriority w:val="59"/>
    <w:rsid w:val="009F4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Macintosh Word</Application>
  <DocSecurity>0</DocSecurity>
  <Lines>7</Lines>
  <Paragraphs>2</Paragraphs>
  <ScaleCrop>false</ScaleCrop>
  <Company>Anik Telecom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Azam</dc:creator>
  <cp:keywords/>
  <dc:description/>
  <cp:lastModifiedBy>Sam Azam</cp:lastModifiedBy>
  <cp:revision>1</cp:revision>
  <dcterms:created xsi:type="dcterms:W3CDTF">2013-05-01T08:25:00Z</dcterms:created>
  <dcterms:modified xsi:type="dcterms:W3CDTF">2013-05-01T08:25:00Z</dcterms:modified>
</cp:coreProperties>
</file>