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547D" w:rsidRPr="00722B3D" w:rsidRDefault="00FB2009" w:rsidP="005B68EA">
      <w:pPr>
        <w:pStyle w:val="Titlepaper"/>
        <w:rPr>
          <w:lang w:val="en-US"/>
        </w:rPr>
      </w:pPr>
      <w:r>
        <w:rPr>
          <w:lang w:val="en-US"/>
        </w:rPr>
        <w:t>POTENTIAL FOR A NEIGHBOURHOOD INCOME-BASED DOMESTIC ENERGY MODEL FOR ORDINARY ELECTRICITY USE IN ENGLAND</w:t>
      </w:r>
    </w:p>
    <w:p w:rsidR="007F7CF0" w:rsidRPr="00722B3D" w:rsidRDefault="00FB2009" w:rsidP="005B68EA">
      <w:pPr>
        <w:pStyle w:val="Authorname"/>
        <w:rPr>
          <w:lang w:val="en-US"/>
        </w:rPr>
      </w:pPr>
      <w:r>
        <w:rPr>
          <w:lang w:val="en-US"/>
        </w:rPr>
        <w:t>Stephen William Lorimer</w:t>
      </w:r>
    </w:p>
    <w:p w:rsidR="00837141" w:rsidRPr="00722B3D" w:rsidRDefault="00FB2009" w:rsidP="00611BBC">
      <w:pPr>
        <w:pStyle w:val="Authorcontact"/>
        <w:rPr>
          <w:lang w:val="en-US"/>
        </w:rPr>
      </w:pPr>
      <w:r>
        <w:rPr>
          <w:lang w:val="en-US"/>
        </w:rPr>
        <w:t>University College London Energy Institute, 14 Upper Woburn Place, London WC1H 0HY, United Kingdom, s.lorimer@ucl.ac.uk</w:t>
      </w:r>
    </w:p>
    <w:p w:rsidR="00D27991" w:rsidRPr="00722B3D" w:rsidRDefault="00D27991" w:rsidP="0042438E">
      <w:pPr>
        <w:pStyle w:val="Heading4"/>
        <w:rPr>
          <w:lang w:val="en-US"/>
        </w:rPr>
      </w:pPr>
      <w:r w:rsidRPr="00722B3D">
        <w:rPr>
          <w:lang w:val="en-US"/>
        </w:rPr>
        <w:t>Summary</w:t>
      </w:r>
    </w:p>
    <w:p w:rsidR="00463B13" w:rsidRPr="00722B3D" w:rsidRDefault="00E155C0" w:rsidP="00FB2009">
      <w:pPr>
        <w:pStyle w:val="Text2ndparagraph"/>
        <w:ind w:firstLine="0"/>
        <w:rPr>
          <w:lang w:val="en-US"/>
        </w:rPr>
      </w:pPr>
      <w:r>
        <w:rPr>
          <w:lang w:val="en-US"/>
        </w:rPr>
        <w:t xml:space="preserve">Current domestic energy models in England currently only take floor area as an independent variable in modeling electricity consumption of a home. This work compared the algorithm in place from 2001-2005 with surveys of consumption in homes from 2002-2006 and census area-wide consumption for the year 2007 to examine the effectiveness of the model and the potential for improvement by adding in the variable of average income by area. The results were that the model underestimated consumption, and the survey did not </w:t>
      </w:r>
      <w:r w:rsidR="0032450C">
        <w:rPr>
          <w:lang w:val="en-US"/>
        </w:rPr>
        <w:t>match</w:t>
      </w:r>
      <w:r>
        <w:rPr>
          <w:lang w:val="en-US"/>
        </w:rPr>
        <w:t xml:space="preserve"> the amount of consumption in census areas at the top of the income scale.</w:t>
      </w:r>
    </w:p>
    <w:p w:rsidR="00463B13" w:rsidRPr="00722B3D" w:rsidRDefault="00463B13" w:rsidP="00463B13">
      <w:pPr>
        <w:pStyle w:val="Text2ndparagraph"/>
        <w:rPr>
          <w:lang w:val="en-US"/>
        </w:rPr>
      </w:pPr>
    </w:p>
    <w:p w:rsidR="00D27991" w:rsidRPr="00722B3D" w:rsidRDefault="00D27991" w:rsidP="00463B13">
      <w:pPr>
        <w:pStyle w:val="Text1stparagraph"/>
        <w:rPr>
          <w:szCs w:val="24"/>
          <w:lang w:val="en-US"/>
        </w:rPr>
      </w:pPr>
      <w:r w:rsidRPr="00722B3D">
        <w:rPr>
          <w:rStyle w:val="boldchar"/>
          <w:lang w:val="en-US"/>
        </w:rPr>
        <w:t>Keywords</w:t>
      </w:r>
      <w:r w:rsidR="0042438E" w:rsidRPr="00722B3D">
        <w:rPr>
          <w:rStyle w:val="boldchar"/>
          <w:lang w:val="en-US"/>
        </w:rPr>
        <w:t>:</w:t>
      </w:r>
      <w:r w:rsidR="0042438E" w:rsidRPr="00722B3D">
        <w:rPr>
          <w:lang w:val="en-US"/>
        </w:rPr>
        <w:tab/>
      </w:r>
      <w:r w:rsidR="009F365A">
        <w:rPr>
          <w:lang w:val="en-US"/>
        </w:rPr>
        <w:t>electricity, modeling, income, neighbourhood, area</w:t>
      </w:r>
    </w:p>
    <w:p w:rsidR="003B5407" w:rsidRPr="00FD796F" w:rsidRDefault="00322A98" w:rsidP="003B5407">
      <w:pPr>
        <w:pStyle w:val="Heading1"/>
      </w:pPr>
      <w:r>
        <w:t>Purpose</w:t>
      </w:r>
      <w:r w:rsidR="001F5764">
        <w:t xml:space="preserve"> and </w:t>
      </w:r>
      <w:r w:rsidR="00063B8A">
        <w:t>d</w:t>
      </w:r>
      <w:r w:rsidR="001F5764">
        <w:t xml:space="preserve">ata </w:t>
      </w:r>
      <w:r w:rsidR="00063B8A">
        <w:t>s</w:t>
      </w:r>
      <w:r w:rsidR="001F5764">
        <w:t>ources</w:t>
      </w:r>
    </w:p>
    <w:p w:rsidR="001F5764" w:rsidRDefault="003B5407" w:rsidP="003B5407">
      <w:pPr>
        <w:rPr>
          <w:b/>
        </w:rPr>
      </w:pPr>
      <w:r w:rsidRPr="00847F26">
        <w:t xml:space="preserve">Building regulations </w:t>
      </w:r>
      <w:r w:rsidR="00A87E28">
        <w:t xml:space="preserve">are required to </w:t>
      </w:r>
      <w:r w:rsidRPr="00847F26">
        <w:t xml:space="preserve">promote the conservation of energy use in domestic buildings in </w:t>
      </w:r>
      <w:r>
        <w:t>England</w:t>
      </w:r>
      <w:r w:rsidRPr="00847F26">
        <w:t xml:space="preserve">. For domestic buildings, this is the </w:t>
      </w:r>
      <w:r w:rsidR="008929B6">
        <w:t xml:space="preserve">Standard Assessment Procedure based on the </w:t>
      </w:r>
      <w:r w:rsidRPr="00847F26">
        <w:t xml:space="preserve">Building Research Establishment Domestic Energy Model - 12 month (BREDEM-12) </w:t>
      </w:r>
      <w:r w:rsidR="00EE0747">
        <w:fldChar w:fldCharType="begin"/>
      </w:r>
      <w:r w:rsidR="004A47DD">
        <w:instrText xml:space="preserve"> ADDIN EN.CITE &lt;EndNote&gt;&lt;Cite&gt;&lt;Author&gt;Department for Communities and Local Government&lt;/Author&gt;&lt;Year&gt;2006&lt;/Year&gt;&lt;RecNum&gt;688&lt;/RecNum&gt;&lt;record&gt;&lt;rec-number&gt;688&lt;/rec-number&gt;&lt;foreign-keys&gt;&lt;key app="EN" db-id="eevwfxrrzrfz57e0dvlxs9ase2wpv5edvdxe"&gt;688&lt;/key&gt;&lt;key app="ENWeb" db-id="StStGgrtqgYAAETUQsc"&gt;48&lt;/key&gt;&lt;/foreign-keys&gt;&lt;ref-type name="Book"&gt;6&lt;/ref-type&gt;&lt;contributors&gt;&lt;authors&gt;&lt;author&gt;Department for Communities and Local Government,&lt;/author&gt;&lt;/authors&gt;&lt;/contributors&gt;&lt;titles&gt;&lt;title&gt;The Building Regulations 2000. Conservation of fuel and power. Approved document L1A&lt;/title&gt;&lt;/titles&gt;&lt;pages&gt;43 p.&lt;/pages&gt;&lt;edition&gt;2006 ed.&lt;/edition&gt;&lt;dates&gt;&lt;year&gt;2006&lt;/year&gt;&lt;/dates&gt;&lt;pub-location&gt;London&lt;/pub-location&gt;&lt;publisher&gt;NBS&lt;/publisher&gt;&lt;isbn&gt;9781859462171 (pbk.)&amp;#xD;1859462170 (pbk.)&lt;/isbn&gt;&lt;call-num&gt;343.41078697 22&lt;/call-num&gt;&lt;urls&gt;&lt;/urls&gt;&lt;/record&gt;&lt;/Cite&gt;&lt;/EndNote&gt;</w:instrText>
      </w:r>
      <w:r w:rsidR="00EE0747">
        <w:fldChar w:fldCharType="separate"/>
      </w:r>
      <w:r w:rsidR="0008284F">
        <w:rPr>
          <w:noProof/>
        </w:rPr>
        <w:t>[1]</w:t>
      </w:r>
      <w:r w:rsidR="00EE0747">
        <w:fldChar w:fldCharType="end"/>
      </w:r>
      <w:r w:rsidRPr="00847F26">
        <w:t xml:space="preserve">. </w:t>
      </w:r>
      <w:r>
        <w:t xml:space="preserve">This paper seeks to examine the potential for income to be included as a factor in estimating what is called “ordinary” domestic electricity use in </w:t>
      </w:r>
      <w:r w:rsidR="000968E9">
        <w:t>England</w:t>
      </w:r>
      <w:r>
        <w:t xml:space="preserve"> by examining homes that were surveyed during the time that the BREDEM 2001 model was in force.  Ordinary electricity use is approximated as the electricity use of lights, appliances, and cooking in the homes.</w:t>
      </w:r>
    </w:p>
    <w:p w:rsidR="001F5764" w:rsidRDefault="001F5764" w:rsidP="003B5407">
      <w:pPr>
        <w:rPr>
          <w:b/>
        </w:rPr>
      </w:pPr>
    </w:p>
    <w:p w:rsidR="003B5407" w:rsidRPr="001F5764" w:rsidRDefault="003B5407" w:rsidP="003B5407">
      <w:pPr>
        <w:rPr>
          <w:b/>
        </w:rPr>
      </w:pPr>
      <w:r>
        <w:t>The</w:t>
      </w:r>
      <w:r w:rsidR="00322A98">
        <w:t>re are three main data sources</w:t>
      </w:r>
      <w:r>
        <w:t xml:space="preserve">. </w:t>
      </w:r>
      <w:r w:rsidRPr="00C207CE">
        <w:rPr>
          <w:color w:val="000000"/>
        </w:rPr>
        <w:t xml:space="preserve">The </w:t>
      </w:r>
      <w:r w:rsidR="004D2B8A">
        <w:rPr>
          <w:color w:val="000000"/>
        </w:rPr>
        <w:t xml:space="preserve">UK </w:t>
      </w:r>
      <w:r w:rsidRPr="00C207CE">
        <w:rPr>
          <w:color w:val="000000"/>
        </w:rPr>
        <w:t xml:space="preserve">Department of Energy and Climate Change developed a method of measuring </w:t>
      </w:r>
      <w:r w:rsidR="00670C50">
        <w:rPr>
          <w:color w:val="000000"/>
        </w:rPr>
        <w:t>small areas in England</w:t>
      </w:r>
      <w:r w:rsidRPr="00C207CE">
        <w:rPr>
          <w:color w:val="000000"/>
        </w:rPr>
        <w:t xml:space="preserve"> </w:t>
      </w:r>
      <w:r>
        <w:rPr>
          <w:color w:val="000000"/>
        </w:rPr>
        <w:t xml:space="preserve">for electricity and gas </w:t>
      </w:r>
      <w:r w:rsidRPr="00C207CE">
        <w:rPr>
          <w:color w:val="000000"/>
        </w:rPr>
        <w:t xml:space="preserve">in </w:t>
      </w:r>
      <w:r>
        <w:rPr>
          <w:color w:val="000000"/>
        </w:rPr>
        <w:t>annual kilowatt-hours</w:t>
      </w:r>
      <w:r w:rsidRPr="00C207CE">
        <w:rPr>
          <w:color w:val="000000"/>
        </w:rPr>
        <w:t xml:space="preserve"> </w:t>
      </w:r>
      <w:r w:rsidR="00EE0747">
        <w:rPr>
          <w:color w:val="000000"/>
        </w:rPr>
        <w:fldChar w:fldCharType="begin"/>
      </w:r>
      <w:r w:rsidR="004A47DD">
        <w:rPr>
          <w:color w:val="000000"/>
        </w:rPr>
        <w:instrText xml:space="preserve"> ADDIN EN.CITE &lt;EndNote&gt;&lt;Cite&gt;&lt;Author&gt;Department of Energy and Climate Change&lt;/Author&gt;&lt;Year&gt;2009&lt;/Year&gt;&lt;RecNum&gt;840&lt;/RecNum&gt;&lt;record&gt;&lt;rec-number&gt;840&lt;/rec-number&gt;&lt;foreign-keys&gt;&lt;key app="EN" db-id="eevwfxrrzrfz57e0dvlxs9ase2wpv5edvdxe"&gt;840&lt;/key&gt;&lt;key app="ENWeb" db-id="StStGgrtqgYAAETUQsc"&gt;196&lt;/key&gt;&lt;/foreign-keys&gt;&lt;ref-type name="Government Document"&gt;46&lt;/ref-type&gt;&lt;contributors&gt;&lt;authors&gt;&lt;author&gt;Department of Energy and Climate Change,&lt;/author&gt;&lt;/authors&gt;&lt;secondary-authors&gt;&lt;author&gt;Department for Energy and Climate Change&lt;/author&gt;&lt;/secondary-authors&gt;&lt;/contributors&gt;&lt;titles&gt;&lt;title&gt;Guidance note for the DECC MLSOA/IGZ electricity and gas consumption data&lt;/title&gt;&lt;/titles&gt;&lt;dates&gt;&lt;year&gt;2009&lt;/year&gt;&lt;/dates&gt;&lt;pub-location&gt;London&lt;/pub-location&gt;&lt;isbn&gt;PUBLICATION URN 09/722&lt;/isbn&gt;&lt;urls&gt;&lt;/urls&gt;&lt;/record&gt;&lt;/Cite&gt;&lt;/EndNote&gt;</w:instrText>
      </w:r>
      <w:r w:rsidR="00EE0747">
        <w:rPr>
          <w:color w:val="000000"/>
        </w:rPr>
        <w:fldChar w:fldCharType="separate"/>
      </w:r>
      <w:r w:rsidR="0008284F">
        <w:rPr>
          <w:noProof/>
          <w:color w:val="000000"/>
        </w:rPr>
        <w:t>[2]</w:t>
      </w:r>
      <w:r w:rsidR="00EE0747">
        <w:rPr>
          <w:color w:val="000000"/>
        </w:rPr>
        <w:fldChar w:fldCharType="end"/>
      </w:r>
      <w:r w:rsidRPr="00C207CE">
        <w:rPr>
          <w:color w:val="000000"/>
        </w:rPr>
        <w:t>.</w:t>
      </w:r>
      <w:r>
        <w:rPr>
          <w:color w:val="000000"/>
        </w:rPr>
        <w:t xml:space="preserve"> </w:t>
      </w:r>
      <w:r w:rsidRPr="00F15DD6">
        <w:t xml:space="preserve">The </w:t>
      </w:r>
      <w:r>
        <w:t>English House Condition Survey (</w:t>
      </w:r>
      <w:r w:rsidRPr="00F15DD6">
        <w:t>EHCS</w:t>
      </w:r>
      <w:r>
        <w:t>)</w:t>
      </w:r>
      <w:r w:rsidRPr="00F15DD6">
        <w:t xml:space="preserve"> is a national survey of housing in England</w:t>
      </w:r>
      <w:r w:rsidR="008929B6">
        <w:t xml:space="preserve"> involving </w:t>
      </w:r>
      <w:r>
        <w:t xml:space="preserve">both an interview and </w:t>
      </w:r>
      <w:r w:rsidRPr="00F15DD6">
        <w:t xml:space="preserve">a physical inspection of property by professional surveyors. </w:t>
      </w:r>
      <w:r w:rsidR="00EE0747">
        <w:fldChar w:fldCharType="begin"/>
      </w:r>
      <w:r w:rsidR="004A47DD">
        <w:instrText xml:space="preserve"> ADDIN EN.CITE &lt;EndNote&gt;&lt;Cite&gt;&lt;Author&gt;Department for Communities and Local Government&lt;/Author&gt;&lt;Year&gt;2010&lt;/Year&gt;&lt;RecNum&gt;1006&lt;/RecNum&gt;&lt;record&gt;&lt;rec-number&gt;1006&lt;/rec-number&gt;&lt;foreign-keys&gt;&lt;key app="EN" db-id="eevwfxrrzrfz57e0dvlxs9ase2wpv5edvdxe"&gt;1006&lt;/key&gt;&lt;/foreign-keys&gt;&lt;ref-type name="Web Page"&gt;12&lt;/ref-type&gt;&lt;contributors&gt;&lt;authors&gt;&lt;author&gt;Department for Communities and Local Government,&lt;/author&gt;&lt;/authors&gt;&lt;/contributors&gt;&lt;titles&gt;&lt;title&gt;English House Condition Survey (EHCS)&lt;/title&gt;&lt;/titles&gt;&lt;number&gt;9 March 2010&lt;/number&gt;&lt;dates&gt;&lt;year&gt;2010&lt;/year&gt;&lt;/dates&gt;&lt;pub-location&gt;London&lt;/pub-location&gt;&lt;publisher&gt;Department for Communities and Local Government&lt;/publisher&gt;&lt;urls&gt;&lt;related-urls&gt;&lt;url&gt;http://www.communities.gov.uk/housing/housingresearch/housingsurveys/englishhousecondition/&lt;/url&gt;&lt;/related-urls&gt;&lt;/urls&gt;&lt;/record&gt;&lt;/Cite&gt;&lt;/EndNote&gt;</w:instrText>
      </w:r>
      <w:r w:rsidR="00EE0747">
        <w:fldChar w:fldCharType="separate"/>
      </w:r>
      <w:r w:rsidR="0008284F">
        <w:rPr>
          <w:noProof/>
        </w:rPr>
        <w:t>[3]</w:t>
      </w:r>
      <w:r w:rsidR="00EE0747">
        <w:fldChar w:fldCharType="end"/>
      </w:r>
      <w:r>
        <w:t xml:space="preserve">. Other data has been extracted for information on trends in </w:t>
      </w:r>
      <w:r w:rsidR="004D2B8A">
        <w:t xml:space="preserve">electric and gas fuels for </w:t>
      </w:r>
      <w:r>
        <w:t xml:space="preserve">cooking </w:t>
      </w:r>
      <w:r w:rsidR="00EE0747">
        <w:fldChar w:fldCharType="begin"/>
      </w:r>
      <w:r w:rsidR="004A47DD">
        <w:instrText xml:space="preserve"> ADDIN EN.CITE &lt;EndNote&gt;&lt;Cite&gt;&lt;Author&gt;Market Transformation Programme&lt;/Author&gt;&lt;Year&gt;2008&lt;/Year&gt;&lt;RecNum&gt;328&lt;/RecNum&gt;&lt;record&gt;&lt;rec-number&gt;328&lt;/rec-number&gt;&lt;foreign-keys&gt;&lt;key app="EN" db-id="eevwfxrrzrfz57e0dvlxs9ase2wpv5edvdxe"&gt;328&lt;/key&gt;&lt;key app="ENWeb" db-id="StStGgrtqgYAAETUQsc"&gt;36&lt;/key&gt;&lt;/foreign-keys&gt;&lt;ref-type name="Report"&gt;27&lt;/ref-type&gt;&lt;contributors&gt;&lt;authors&gt;&lt;author&gt;Market Transformation Programme,&lt;/author&gt;&lt;/authors&gt;&lt;/contributors&gt;&lt;titles&gt;&lt;title&gt;BNCK01: Assumptions underlying the energy projections of cooking appliances&lt;/title&gt;&lt;/titles&gt;&lt;edition&gt;3.2&lt;/edition&gt;&lt;dates&gt;&lt;year&gt;2008&lt;/year&gt;&lt;pub-dates&gt;&lt;date&gt;18/01/2008&lt;/date&gt;&lt;/pub-dates&gt;&lt;/dates&gt;&lt;pub-location&gt;Didcot, UK&lt;/pub-location&gt;&lt;urls&gt;&lt;/urls&gt;&lt;/record&gt;&lt;/Cite&gt;&lt;/EndNote&gt;</w:instrText>
      </w:r>
      <w:r w:rsidR="00EE0747">
        <w:fldChar w:fldCharType="separate"/>
      </w:r>
      <w:r w:rsidR="0008284F">
        <w:rPr>
          <w:noProof/>
        </w:rPr>
        <w:t>[4]</w:t>
      </w:r>
      <w:r w:rsidR="00EE0747">
        <w:fldChar w:fldCharType="end"/>
      </w:r>
      <w:r>
        <w:t>.</w:t>
      </w:r>
    </w:p>
    <w:p w:rsidR="003B5407" w:rsidRDefault="003B5407" w:rsidP="003B5407">
      <w:pPr>
        <w:pStyle w:val="Heading1"/>
      </w:pPr>
      <w:r>
        <w:t>Methodology</w:t>
      </w:r>
    </w:p>
    <w:p w:rsidR="003B5407" w:rsidRDefault="003B5407" w:rsidP="003B5407">
      <w:pPr>
        <w:rPr>
          <w:color w:val="000000"/>
        </w:rPr>
      </w:pPr>
      <w:r>
        <w:rPr>
          <w:color w:val="000000"/>
        </w:rPr>
        <w:t xml:space="preserve">Electricity consumption data </w:t>
      </w:r>
      <w:r w:rsidR="008929B6">
        <w:rPr>
          <w:color w:val="000000"/>
        </w:rPr>
        <w:t>covering</w:t>
      </w:r>
      <w:r>
        <w:rPr>
          <w:color w:val="000000"/>
        </w:rPr>
        <w:t xml:space="preserve"> all housing in England is currently released at the level of the Middle Layer Super Output Area (MLSOA</w:t>
      </w:r>
      <w:r w:rsidR="00E42F1C">
        <w:rPr>
          <w:color w:val="000000"/>
        </w:rPr>
        <w:t xml:space="preserve">) – around 2,000 households. </w:t>
      </w:r>
      <w:r>
        <w:rPr>
          <w:color w:val="000000"/>
        </w:rPr>
        <w:t xml:space="preserve">This exercise will compare </w:t>
      </w:r>
      <w:r w:rsidR="00E42F1C">
        <w:rPr>
          <w:color w:val="000000"/>
        </w:rPr>
        <w:t xml:space="preserve">reported </w:t>
      </w:r>
      <w:r>
        <w:rPr>
          <w:color w:val="000000"/>
        </w:rPr>
        <w:t xml:space="preserve">electricity use for </w:t>
      </w:r>
      <w:r w:rsidR="008929B6">
        <w:rPr>
          <w:color w:val="000000"/>
        </w:rPr>
        <w:t>ordinary electricity use</w:t>
      </w:r>
      <w:r w:rsidR="00E42F1C">
        <w:rPr>
          <w:color w:val="000000"/>
        </w:rPr>
        <w:t xml:space="preserve"> at the MLSOA</w:t>
      </w:r>
      <w:r>
        <w:rPr>
          <w:color w:val="000000"/>
        </w:rPr>
        <w:t xml:space="preserve"> </w:t>
      </w:r>
      <w:r w:rsidR="00E42F1C">
        <w:rPr>
          <w:color w:val="000000"/>
        </w:rPr>
        <w:t xml:space="preserve">with </w:t>
      </w:r>
      <w:r w:rsidR="008929B6">
        <w:rPr>
          <w:color w:val="000000"/>
        </w:rPr>
        <w:t>EHCS</w:t>
      </w:r>
      <w:r>
        <w:rPr>
          <w:color w:val="000000"/>
        </w:rPr>
        <w:t xml:space="preserve"> data and modelling predictions from BREDEM-12 (2001) contained in the </w:t>
      </w:r>
      <w:r>
        <w:rPr>
          <w:color w:val="000000"/>
        </w:rPr>
        <w:lastRenderedPageBreak/>
        <w:t xml:space="preserve">planning and building regulations in force from 2001 to 2005 </w:t>
      </w:r>
      <w:r w:rsidR="00EE0747">
        <w:rPr>
          <w:color w:val="000000"/>
        </w:rPr>
        <w:fldChar w:fldCharType="begin"/>
      </w:r>
      <w:r w:rsidR="004A47DD">
        <w:rPr>
          <w:color w:val="000000"/>
        </w:rPr>
        <w:instrText xml:space="preserve"> ADDIN EN.CITE &lt;EndNote&gt;&lt;Cite&gt;&lt;Author&gt;Anderson&lt;/Author&gt;&lt;Year&gt;2002&lt;/Year&gt;&lt;RecNum&gt;305&lt;/RecNum&gt;&lt;record&gt;&lt;rec-number&gt;305&lt;/rec-number&gt;&lt;foreign-keys&gt;&lt;key app="EN" db-id="eevwfxrrzrfz57e0dvlxs9ase2wpv5edvdxe"&gt;305&lt;/key&gt;&lt;key app="ENWeb" db-id="StStGgrtqgYAAETUQsc"&gt;13&lt;/key&gt;&lt;/foreign-keys&gt;&lt;ref-type name="Book"&gt;6&lt;/ref-type&gt;&lt;contributors&gt;&lt;authors&gt;&lt;author&gt;Anderson, B. R.&lt;/author&gt;&lt;/authors&gt;&lt;/contributors&gt;&lt;titles&gt;&lt;title&gt;BREDEM-12 : model description, 2001 update&lt;/title&gt;&lt;/titles&gt;&lt;pages&gt;94 p.&lt;/pages&gt;&lt;keywords&gt;&lt;keyword&gt;Dwellings Energy consumption Mathematical models.&lt;/keyword&gt;&lt;keyword&gt;Energy conservation&lt;/keyword&gt;&lt;keyword&gt;Buildings Environmental engineering&lt;/keyword&gt;&lt;keyword&gt;Heat engineering&lt;/keyword&gt;&lt;keyword&gt;Refrigeration and refrigerating machinery&lt;/keyword&gt;&lt;keyword&gt;Building&lt;/keyword&gt;&lt;keyword&gt;Water heating&lt;/keyword&gt;&lt;keyword&gt;Lights&lt;/keyword&gt;&lt;keyword&gt;Appliances&lt;/keyword&gt;&lt;keyword&gt;Cooking&lt;/keyword&gt;&lt;keyword&gt;Heating systems&lt;/keyword&gt;&lt;keyword&gt;Energy consumption&lt;/keyword&gt;&lt;keyword&gt;Domestic energy model&lt;/keyword&gt;&lt;keyword&gt;Dwellings&lt;/keyword&gt;&lt;keyword&gt;Energy conservation &amp;amp; Energy consumption&lt;/keyword&gt;&lt;keyword&gt;Air conditioning &amp;amp; heating &amp;amp; ventilation&lt;/keyword&gt;&lt;keyword&gt;Building technology&lt;/keyword&gt;&lt;/keywords&gt;&lt;dates&gt;&lt;year&gt;2002&lt;/year&gt;&lt;/dates&gt;&lt;pub-location&gt;London&lt;/pub-location&gt;&lt;publisher&gt;CRC&lt;/publisher&gt;&lt;isbn&gt;1860815367 (spiral) : ¹45.00&lt;/isbn&gt;&lt;accession-num&gt;G07529971&lt;/accession-num&gt;&lt;call-num&gt;696.015118 21&amp;#xD;621.042 22&amp;#xD;333.7916 22&amp;#xD;697 22&amp;#xD;621.402 22&amp;#xD;621.56 22&amp;#xD;690 22&lt;/call-num&gt;&lt;urls&gt;&lt;/urls&gt;&lt;/record&gt;&lt;/Cite&gt;&lt;/EndNote&gt;</w:instrText>
      </w:r>
      <w:r w:rsidR="00EE0747">
        <w:rPr>
          <w:color w:val="000000"/>
        </w:rPr>
        <w:fldChar w:fldCharType="separate"/>
      </w:r>
      <w:r w:rsidR="0008284F">
        <w:rPr>
          <w:noProof/>
          <w:color w:val="000000"/>
        </w:rPr>
        <w:t>[5]</w:t>
      </w:r>
      <w:r w:rsidR="00EE0747">
        <w:rPr>
          <w:color w:val="000000"/>
        </w:rPr>
        <w:fldChar w:fldCharType="end"/>
      </w:r>
      <w:r>
        <w:rPr>
          <w:color w:val="000000"/>
        </w:rPr>
        <w:t>. To make this comparison, a new dataset for each MLSOA will need to derived building upon survey and census data. Table 1 describes the data required.</w:t>
      </w:r>
    </w:p>
    <w:p w:rsidR="003B5407" w:rsidRDefault="003B5407" w:rsidP="003B5407">
      <w:pPr>
        <w:rPr>
          <w:color w:val="000000"/>
        </w:rPr>
      </w:pPr>
    </w:p>
    <w:tbl>
      <w:tblPr>
        <w:tblStyle w:val="TableGrid"/>
        <w:tblW w:w="9576" w:type="dxa"/>
        <w:tblLook w:val="04A0"/>
      </w:tblPr>
      <w:tblGrid>
        <w:gridCol w:w="1983"/>
        <w:gridCol w:w="1952"/>
        <w:gridCol w:w="1932"/>
        <w:gridCol w:w="1989"/>
        <w:gridCol w:w="1720"/>
      </w:tblGrid>
      <w:tr w:rsidR="003B5407" w:rsidRPr="001F5764" w:rsidTr="001F5764">
        <w:tc>
          <w:tcPr>
            <w:tcW w:w="2043" w:type="dxa"/>
            <w:shd w:val="clear" w:color="auto" w:fill="BFBFBF" w:themeFill="background1" w:themeFillShade="BF"/>
          </w:tcPr>
          <w:p w:rsidR="003B5407" w:rsidRPr="001F5764" w:rsidRDefault="007C3E0B" w:rsidP="001F5764">
            <w:pPr>
              <w:jc w:val="left"/>
              <w:rPr>
                <w:rFonts w:ascii="Times New Roman" w:hAnsi="Times New Roman" w:cs="Times New Roman"/>
                <w:b/>
                <w:color w:val="000000"/>
              </w:rPr>
            </w:pPr>
            <w:r>
              <w:rPr>
                <w:rFonts w:ascii="Times New Roman" w:hAnsi="Times New Roman" w:cs="Times New Roman"/>
                <w:b/>
                <w:color w:val="000000"/>
              </w:rPr>
              <w:t>EHCS</w:t>
            </w:r>
            <w:r w:rsidR="003B5407" w:rsidRPr="001F5764">
              <w:rPr>
                <w:rFonts w:ascii="Times New Roman" w:hAnsi="Times New Roman" w:cs="Times New Roman"/>
                <w:b/>
                <w:color w:val="000000"/>
              </w:rPr>
              <w:t xml:space="preserve"> (unit scale)</w:t>
            </w:r>
          </w:p>
        </w:tc>
        <w:tc>
          <w:tcPr>
            <w:tcW w:w="2013" w:type="dxa"/>
            <w:shd w:val="clear" w:color="auto" w:fill="BFBFBF" w:themeFill="background1" w:themeFillShade="BF"/>
          </w:tcPr>
          <w:p w:rsidR="003B5407" w:rsidRPr="001F5764" w:rsidRDefault="003B5407" w:rsidP="001F5764">
            <w:pPr>
              <w:jc w:val="left"/>
              <w:rPr>
                <w:rFonts w:ascii="Times New Roman" w:hAnsi="Times New Roman" w:cs="Times New Roman"/>
                <w:b/>
                <w:color w:val="000000"/>
              </w:rPr>
            </w:pPr>
            <w:r w:rsidRPr="001F5764">
              <w:rPr>
                <w:rFonts w:ascii="Times New Roman" w:hAnsi="Times New Roman" w:cs="Times New Roman"/>
                <w:b/>
                <w:color w:val="000000"/>
              </w:rPr>
              <w:t>Regional Price Index</w:t>
            </w:r>
            <w:r w:rsidR="007C3E0B">
              <w:rPr>
                <w:rFonts w:ascii="Times New Roman" w:hAnsi="Times New Roman" w:cs="Times New Roman"/>
                <w:b/>
                <w:color w:val="000000"/>
              </w:rPr>
              <w:t xml:space="preserve"> (RPI)</w:t>
            </w:r>
            <w:r w:rsidRPr="001F5764">
              <w:rPr>
                <w:rFonts w:ascii="Times New Roman" w:hAnsi="Times New Roman" w:cs="Times New Roman"/>
                <w:b/>
                <w:color w:val="000000"/>
              </w:rPr>
              <w:t xml:space="preserve"> (Regional scale)</w:t>
            </w:r>
          </w:p>
        </w:tc>
        <w:tc>
          <w:tcPr>
            <w:tcW w:w="1988" w:type="dxa"/>
            <w:shd w:val="clear" w:color="auto" w:fill="BFBFBF" w:themeFill="background1" w:themeFillShade="BF"/>
          </w:tcPr>
          <w:p w:rsidR="003B5407" w:rsidRPr="008929B6" w:rsidRDefault="008929B6" w:rsidP="008929B6">
            <w:pPr>
              <w:jc w:val="left"/>
              <w:rPr>
                <w:rFonts w:ascii="Times New Roman" w:hAnsi="Times New Roman" w:cs="Times New Roman"/>
                <w:b/>
                <w:color w:val="000000"/>
              </w:rPr>
            </w:pPr>
            <w:r w:rsidRPr="008929B6">
              <w:rPr>
                <w:rFonts w:ascii="Times New Roman" w:hAnsi="Times New Roman" w:cs="Times New Roman"/>
                <w:b/>
                <w:color w:val="000000"/>
              </w:rPr>
              <w:t xml:space="preserve">Census data </w:t>
            </w:r>
            <w:r w:rsidR="003B5407" w:rsidRPr="008929B6">
              <w:rPr>
                <w:rFonts w:ascii="Times New Roman" w:hAnsi="Times New Roman" w:cs="Times New Roman"/>
                <w:b/>
                <w:color w:val="000000"/>
              </w:rPr>
              <w:t xml:space="preserve"> (MLSOA scale)</w:t>
            </w:r>
          </w:p>
        </w:tc>
        <w:tc>
          <w:tcPr>
            <w:tcW w:w="1766" w:type="dxa"/>
            <w:shd w:val="clear" w:color="auto" w:fill="BFBFBF" w:themeFill="background1" w:themeFillShade="BF"/>
          </w:tcPr>
          <w:p w:rsidR="003B5407" w:rsidRPr="001F5764" w:rsidRDefault="003B5407" w:rsidP="007C3E0B">
            <w:pPr>
              <w:rPr>
                <w:rFonts w:ascii="Times New Roman" w:hAnsi="Times New Roman" w:cs="Times New Roman"/>
                <w:b/>
                <w:color w:val="000000"/>
              </w:rPr>
            </w:pPr>
            <w:r w:rsidRPr="001F5764">
              <w:rPr>
                <w:rFonts w:ascii="Times New Roman" w:hAnsi="Times New Roman" w:cs="Times New Roman"/>
                <w:b/>
                <w:color w:val="000000"/>
              </w:rPr>
              <w:t>EHCS/RPI/</w:t>
            </w:r>
            <w:r w:rsidR="007C3E0B">
              <w:rPr>
                <w:rFonts w:ascii="Times New Roman" w:hAnsi="Times New Roman" w:cs="Times New Roman"/>
                <w:b/>
                <w:color w:val="000000"/>
              </w:rPr>
              <w:t xml:space="preserve">Census </w:t>
            </w:r>
            <w:r w:rsidRPr="001F5764">
              <w:rPr>
                <w:rFonts w:ascii="Times New Roman" w:hAnsi="Times New Roman" w:cs="Times New Roman"/>
                <w:b/>
                <w:color w:val="000000"/>
              </w:rPr>
              <w:t>Derived Dataset (MLSOA scale)</w:t>
            </w:r>
          </w:p>
        </w:tc>
        <w:tc>
          <w:tcPr>
            <w:tcW w:w="1766" w:type="dxa"/>
            <w:shd w:val="clear" w:color="auto" w:fill="BFBFBF" w:themeFill="background1" w:themeFillShade="BF"/>
          </w:tcPr>
          <w:p w:rsidR="003B5407" w:rsidRPr="001F5764" w:rsidRDefault="003B5407" w:rsidP="001F5764">
            <w:pPr>
              <w:jc w:val="left"/>
              <w:rPr>
                <w:rFonts w:ascii="Times New Roman" w:hAnsi="Times New Roman" w:cs="Times New Roman"/>
                <w:b/>
                <w:color w:val="000000"/>
              </w:rPr>
            </w:pPr>
            <w:r w:rsidRPr="001F5764">
              <w:rPr>
                <w:rFonts w:ascii="Times New Roman" w:hAnsi="Times New Roman" w:cs="Times New Roman"/>
                <w:b/>
                <w:color w:val="000000"/>
              </w:rPr>
              <w:t>DECC Energy Data (MLSOA scale)</w:t>
            </w:r>
          </w:p>
        </w:tc>
      </w:tr>
      <w:tr w:rsidR="003B5407" w:rsidRPr="008820E8" w:rsidTr="001F5764">
        <w:tc>
          <w:tcPr>
            <w:tcW w:w="2043" w:type="dxa"/>
            <w:shd w:val="clear" w:color="auto" w:fill="auto"/>
          </w:tcPr>
          <w:p w:rsidR="003B5407" w:rsidRPr="008820E8" w:rsidRDefault="003B5407" w:rsidP="008929B6">
            <w:pPr>
              <w:jc w:val="left"/>
              <w:rPr>
                <w:rFonts w:ascii="Times New Roman" w:hAnsi="Times New Roman" w:cs="Times New Roman"/>
                <w:color w:val="000000"/>
              </w:rPr>
            </w:pPr>
            <w:r w:rsidRPr="008820E8">
              <w:rPr>
                <w:rFonts w:ascii="Times New Roman" w:hAnsi="Times New Roman" w:cs="Times New Roman"/>
                <w:color w:val="000000"/>
              </w:rPr>
              <w:t>Region</w:t>
            </w:r>
          </w:p>
        </w:tc>
        <w:tc>
          <w:tcPr>
            <w:tcW w:w="2013" w:type="dxa"/>
            <w:shd w:val="clear" w:color="auto" w:fill="auto"/>
          </w:tcPr>
          <w:p w:rsidR="003B5407" w:rsidRPr="008820E8" w:rsidRDefault="003B5407" w:rsidP="008929B6">
            <w:pPr>
              <w:jc w:val="left"/>
              <w:rPr>
                <w:rFonts w:ascii="Times New Roman" w:hAnsi="Times New Roman" w:cs="Times New Roman"/>
                <w:color w:val="000000"/>
              </w:rPr>
            </w:pPr>
            <w:r w:rsidRPr="008820E8">
              <w:rPr>
                <w:rFonts w:ascii="Times New Roman" w:hAnsi="Times New Roman" w:cs="Times New Roman"/>
                <w:color w:val="000000"/>
              </w:rPr>
              <w:t>Region</w:t>
            </w:r>
          </w:p>
        </w:tc>
        <w:tc>
          <w:tcPr>
            <w:tcW w:w="1988" w:type="dxa"/>
            <w:shd w:val="clear" w:color="auto" w:fill="auto"/>
          </w:tcPr>
          <w:p w:rsidR="003B5407" w:rsidRPr="008929B6" w:rsidRDefault="003B5407" w:rsidP="008929B6">
            <w:pPr>
              <w:jc w:val="left"/>
              <w:rPr>
                <w:rFonts w:ascii="Times New Roman" w:hAnsi="Times New Roman" w:cs="Times New Roman"/>
                <w:color w:val="000000"/>
              </w:rPr>
            </w:pPr>
            <w:r w:rsidRPr="008929B6">
              <w:rPr>
                <w:rFonts w:ascii="Times New Roman" w:hAnsi="Times New Roman" w:cs="Times New Roman"/>
                <w:color w:val="000000"/>
              </w:rPr>
              <w:t>Region</w:t>
            </w:r>
          </w:p>
        </w:tc>
        <w:tc>
          <w:tcPr>
            <w:tcW w:w="1766" w:type="dxa"/>
            <w:shd w:val="clear" w:color="auto" w:fill="auto"/>
          </w:tcPr>
          <w:p w:rsidR="003B5407" w:rsidRPr="008820E8" w:rsidRDefault="003B5407" w:rsidP="008929B6">
            <w:pPr>
              <w:jc w:val="left"/>
              <w:rPr>
                <w:rFonts w:ascii="Times New Roman" w:hAnsi="Times New Roman" w:cs="Times New Roman"/>
                <w:color w:val="000000"/>
              </w:rPr>
            </w:pPr>
            <w:r w:rsidRPr="008820E8">
              <w:rPr>
                <w:rFonts w:ascii="Times New Roman" w:hAnsi="Times New Roman" w:cs="Times New Roman"/>
                <w:color w:val="000000"/>
              </w:rPr>
              <w:t>Region</w:t>
            </w:r>
          </w:p>
        </w:tc>
        <w:tc>
          <w:tcPr>
            <w:tcW w:w="1766" w:type="dxa"/>
            <w:shd w:val="clear" w:color="auto" w:fill="auto"/>
          </w:tcPr>
          <w:p w:rsidR="003B5407" w:rsidRPr="008820E8" w:rsidRDefault="003B5407" w:rsidP="008929B6">
            <w:pPr>
              <w:jc w:val="left"/>
              <w:rPr>
                <w:rFonts w:ascii="Times New Roman" w:hAnsi="Times New Roman" w:cs="Times New Roman"/>
                <w:color w:val="000000"/>
              </w:rPr>
            </w:pPr>
            <w:r w:rsidRPr="008820E8">
              <w:rPr>
                <w:rFonts w:ascii="Times New Roman" w:hAnsi="Times New Roman" w:cs="Times New Roman"/>
                <w:color w:val="000000"/>
              </w:rPr>
              <w:t>Region</w:t>
            </w:r>
          </w:p>
        </w:tc>
      </w:tr>
      <w:tr w:rsidR="003B5407" w:rsidRPr="008820E8" w:rsidTr="001F5764">
        <w:tc>
          <w:tcPr>
            <w:tcW w:w="2043" w:type="dxa"/>
            <w:shd w:val="clear" w:color="auto" w:fill="auto"/>
          </w:tcPr>
          <w:p w:rsidR="003B5407" w:rsidRPr="008820E8" w:rsidRDefault="003B5407" w:rsidP="008929B6">
            <w:pPr>
              <w:jc w:val="left"/>
              <w:rPr>
                <w:rFonts w:ascii="Times New Roman" w:hAnsi="Times New Roman" w:cs="Times New Roman"/>
                <w:color w:val="000000"/>
              </w:rPr>
            </w:pPr>
          </w:p>
        </w:tc>
        <w:tc>
          <w:tcPr>
            <w:tcW w:w="2013" w:type="dxa"/>
            <w:shd w:val="clear" w:color="auto" w:fill="auto"/>
          </w:tcPr>
          <w:p w:rsidR="003B5407" w:rsidRPr="008820E8" w:rsidRDefault="003B5407" w:rsidP="008929B6">
            <w:pPr>
              <w:jc w:val="left"/>
              <w:rPr>
                <w:rFonts w:ascii="Times New Roman" w:hAnsi="Times New Roman" w:cs="Times New Roman"/>
                <w:color w:val="000000"/>
              </w:rPr>
            </w:pPr>
          </w:p>
        </w:tc>
        <w:tc>
          <w:tcPr>
            <w:tcW w:w="1988" w:type="dxa"/>
            <w:shd w:val="clear" w:color="auto" w:fill="auto"/>
          </w:tcPr>
          <w:p w:rsidR="003B5407" w:rsidRPr="008929B6" w:rsidRDefault="003B5407" w:rsidP="008929B6">
            <w:pPr>
              <w:jc w:val="left"/>
              <w:rPr>
                <w:rFonts w:ascii="Times New Roman" w:hAnsi="Times New Roman" w:cs="Times New Roman"/>
                <w:color w:val="000000"/>
              </w:rPr>
            </w:pPr>
            <w:r w:rsidRPr="008929B6">
              <w:rPr>
                <w:rFonts w:ascii="Times New Roman" w:hAnsi="Times New Roman" w:cs="Times New Roman"/>
                <w:color w:val="000000"/>
              </w:rPr>
              <w:t>MLSOA name</w:t>
            </w:r>
          </w:p>
        </w:tc>
        <w:tc>
          <w:tcPr>
            <w:tcW w:w="1766" w:type="dxa"/>
            <w:shd w:val="clear" w:color="auto" w:fill="auto"/>
          </w:tcPr>
          <w:p w:rsidR="003B5407" w:rsidRPr="008820E8" w:rsidRDefault="003B5407" w:rsidP="008929B6">
            <w:pPr>
              <w:jc w:val="left"/>
              <w:rPr>
                <w:rFonts w:ascii="Times New Roman" w:hAnsi="Times New Roman" w:cs="Times New Roman"/>
                <w:color w:val="000000"/>
              </w:rPr>
            </w:pPr>
            <w:r w:rsidRPr="008820E8">
              <w:rPr>
                <w:rFonts w:ascii="Times New Roman" w:hAnsi="Times New Roman" w:cs="Times New Roman"/>
                <w:color w:val="000000"/>
              </w:rPr>
              <w:t>MLSOA name</w:t>
            </w:r>
          </w:p>
        </w:tc>
        <w:tc>
          <w:tcPr>
            <w:tcW w:w="1766" w:type="dxa"/>
            <w:shd w:val="clear" w:color="auto" w:fill="auto"/>
          </w:tcPr>
          <w:p w:rsidR="003B5407" w:rsidRPr="008820E8" w:rsidRDefault="003B5407" w:rsidP="008929B6">
            <w:pPr>
              <w:jc w:val="left"/>
              <w:rPr>
                <w:rFonts w:ascii="Times New Roman" w:hAnsi="Times New Roman" w:cs="Times New Roman"/>
                <w:color w:val="000000"/>
              </w:rPr>
            </w:pPr>
            <w:r w:rsidRPr="008820E8">
              <w:rPr>
                <w:rFonts w:ascii="Times New Roman" w:hAnsi="Times New Roman" w:cs="Times New Roman"/>
                <w:color w:val="000000"/>
              </w:rPr>
              <w:t>MLSOA name</w:t>
            </w:r>
          </w:p>
        </w:tc>
      </w:tr>
      <w:tr w:rsidR="003B5407" w:rsidRPr="008820E8" w:rsidTr="001F5764">
        <w:tc>
          <w:tcPr>
            <w:tcW w:w="2043" w:type="dxa"/>
            <w:shd w:val="clear" w:color="auto" w:fill="auto"/>
          </w:tcPr>
          <w:p w:rsidR="003B5407" w:rsidRPr="008820E8" w:rsidRDefault="003B5407" w:rsidP="008929B6">
            <w:pPr>
              <w:jc w:val="left"/>
              <w:rPr>
                <w:rFonts w:ascii="Times New Roman" w:hAnsi="Times New Roman" w:cs="Times New Roman"/>
                <w:color w:val="000000"/>
              </w:rPr>
            </w:pPr>
            <w:r w:rsidRPr="008820E8">
              <w:rPr>
                <w:rFonts w:ascii="Times New Roman" w:hAnsi="Times New Roman" w:cs="Times New Roman"/>
                <w:color w:val="000000"/>
              </w:rPr>
              <w:t>Dwelling type</w:t>
            </w:r>
          </w:p>
        </w:tc>
        <w:tc>
          <w:tcPr>
            <w:tcW w:w="2013" w:type="dxa"/>
            <w:shd w:val="clear" w:color="auto" w:fill="auto"/>
          </w:tcPr>
          <w:p w:rsidR="003B5407" w:rsidRPr="008820E8" w:rsidRDefault="003B5407" w:rsidP="008929B6">
            <w:pPr>
              <w:jc w:val="left"/>
              <w:rPr>
                <w:rFonts w:ascii="Times New Roman" w:hAnsi="Times New Roman" w:cs="Times New Roman"/>
                <w:color w:val="000000"/>
              </w:rPr>
            </w:pPr>
          </w:p>
        </w:tc>
        <w:tc>
          <w:tcPr>
            <w:tcW w:w="1988" w:type="dxa"/>
            <w:shd w:val="clear" w:color="auto" w:fill="auto"/>
          </w:tcPr>
          <w:p w:rsidR="003B5407" w:rsidRPr="008929B6" w:rsidRDefault="003B5407" w:rsidP="008929B6">
            <w:pPr>
              <w:jc w:val="left"/>
              <w:rPr>
                <w:rFonts w:ascii="Times New Roman" w:hAnsi="Times New Roman" w:cs="Times New Roman"/>
                <w:color w:val="000000"/>
              </w:rPr>
            </w:pPr>
            <w:r w:rsidRPr="008929B6">
              <w:rPr>
                <w:rFonts w:ascii="Times New Roman" w:hAnsi="Times New Roman" w:cs="Times New Roman"/>
                <w:color w:val="000000"/>
              </w:rPr>
              <w:t>Dwelling type</w:t>
            </w:r>
          </w:p>
        </w:tc>
        <w:tc>
          <w:tcPr>
            <w:tcW w:w="1766" w:type="dxa"/>
            <w:shd w:val="clear" w:color="auto" w:fill="auto"/>
          </w:tcPr>
          <w:p w:rsidR="003B5407" w:rsidRPr="008820E8" w:rsidRDefault="003B5407" w:rsidP="008929B6">
            <w:pPr>
              <w:jc w:val="left"/>
              <w:rPr>
                <w:rFonts w:ascii="Times New Roman" w:hAnsi="Times New Roman" w:cs="Times New Roman"/>
                <w:color w:val="000000"/>
              </w:rPr>
            </w:pPr>
            <w:r w:rsidRPr="008820E8">
              <w:rPr>
                <w:rFonts w:ascii="Times New Roman" w:hAnsi="Times New Roman" w:cs="Times New Roman"/>
                <w:color w:val="000000"/>
              </w:rPr>
              <w:t>Dwelling type</w:t>
            </w:r>
          </w:p>
        </w:tc>
        <w:tc>
          <w:tcPr>
            <w:tcW w:w="1766" w:type="dxa"/>
            <w:shd w:val="clear" w:color="auto" w:fill="auto"/>
          </w:tcPr>
          <w:p w:rsidR="003B5407" w:rsidRPr="008820E8" w:rsidRDefault="003B5407" w:rsidP="008929B6">
            <w:pPr>
              <w:jc w:val="left"/>
              <w:rPr>
                <w:rFonts w:ascii="Times New Roman" w:hAnsi="Times New Roman" w:cs="Times New Roman"/>
                <w:color w:val="000000"/>
              </w:rPr>
            </w:pPr>
          </w:p>
        </w:tc>
      </w:tr>
      <w:tr w:rsidR="003B5407" w:rsidRPr="008820E8" w:rsidTr="001F5764">
        <w:tc>
          <w:tcPr>
            <w:tcW w:w="2043" w:type="dxa"/>
            <w:shd w:val="clear" w:color="auto" w:fill="auto"/>
          </w:tcPr>
          <w:p w:rsidR="003B5407" w:rsidRPr="008820E8" w:rsidRDefault="003B5407" w:rsidP="008929B6">
            <w:pPr>
              <w:jc w:val="left"/>
              <w:rPr>
                <w:rFonts w:ascii="Times New Roman" w:hAnsi="Times New Roman" w:cs="Times New Roman"/>
                <w:color w:val="000000"/>
              </w:rPr>
            </w:pPr>
            <w:r w:rsidRPr="008820E8">
              <w:rPr>
                <w:rFonts w:ascii="Times New Roman" w:hAnsi="Times New Roman" w:cs="Times New Roman"/>
                <w:color w:val="000000"/>
              </w:rPr>
              <w:t>Area Type</w:t>
            </w:r>
          </w:p>
        </w:tc>
        <w:tc>
          <w:tcPr>
            <w:tcW w:w="2013" w:type="dxa"/>
            <w:shd w:val="clear" w:color="auto" w:fill="auto"/>
          </w:tcPr>
          <w:p w:rsidR="003B5407" w:rsidRPr="008820E8" w:rsidRDefault="003B5407" w:rsidP="008929B6">
            <w:pPr>
              <w:jc w:val="left"/>
              <w:rPr>
                <w:rFonts w:ascii="Times New Roman" w:hAnsi="Times New Roman" w:cs="Times New Roman"/>
                <w:color w:val="000000"/>
              </w:rPr>
            </w:pPr>
          </w:p>
        </w:tc>
        <w:tc>
          <w:tcPr>
            <w:tcW w:w="1988" w:type="dxa"/>
            <w:shd w:val="clear" w:color="auto" w:fill="auto"/>
          </w:tcPr>
          <w:p w:rsidR="003B5407" w:rsidRPr="008929B6" w:rsidRDefault="003B5407" w:rsidP="008929B6">
            <w:pPr>
              <w:jc w:val="left"/>
              <w:rPr>
                <w:rFonts w:ascii="Times New Roman" w:hAnsi="Times New Roman" w:cs="Times New Roman"/>
                <w:color w:val="000000"/>
              </w:rPr>
            </w:pPr>
            <w:r w:rsidRPr="008929B6">
              <w:rPr>
                <w:rFonts w:ascii="Times New Roman" w:hAnsi="Times New Roman" w:cs="Times New Roman"/>
                <w:color w:val="000000"/>
              </w:rPr>
              <w:t>Land Use</w:t>
            </w:r>
          </w:p>
        </w:tc>
        <w:tc>
          <w:tcPr>
            <w:tcW w:w="1766" w:type="dxa"/>
            <w:shd w:val="clear" w:color="auto" w:fill="auto"/>
          </w:tcPr>
          <w:p w:rsidR="003B5407" w:rsidRPr="008820E8" w:rsidRDefault="003B5407" w:rsidP="008929B6">
            <w:pPr>
              <w:jc w:val="left"/>
              <w:rPr>
                <w:rFonts w:ascii="Times New Roman" w:hAnsi="Times New Roman" w:cs="Times New Roman"/>
                <w:b/>
                <w:color w:val="000000"/>
              </w:rPr>
            </w:pPr>
            <w:r w:rsidRPr="008820E8">
              <w:rPr>
                <w:rFonts w:ascii="Times New Roman" w:hAnsi="Times New Roman" w:cs="Times New Roman"/>
                <w:b/>
                <w:color w:val="000000"/>
              </w:rPr>
              <w:t xml:space="preserve">Area Type </w:t>
            </w:r>
          </w:p>
        </w:tc>
        <w:tc>
          <w:tcPr>
            <w:tcW w:w="1766" w:type="dxa"/>
            <w:shd w:val="clear" w:color="auto" w:fill="auto"/>
          </w:tcPr>
          <w:p w:rsidR="003B5407" w:rsidRPr="008820E8" w:rsidRDefault="003B5407" w:rsidP="008929B6">
            <w:pPr>
              <w:jc w:val="left"/>
              <w:rPr>
                <w:rFonts w:ascii="Times New Roman" w:hAnsi="Times New Roman" w:cs="Times New Roman"/>
                <w:color w:val="000000"/>
              </w:rPr>
            </w:pPr>
          </w:p>
        </w:tc>
      </w:tr>
      <w:tr w:rsidR="003B5407" w:rsidRPr="008820E8" w:rsidTr="001F5764">
        <w:tc>
          <w:tcPr>
            <w:tcW w:w="2043" w:type="dxa"/>
            <w:shd w:val="clear" w:color="auto" w:fill="auto"/>
          </w:tcPr>
          <w:p w:rsidR="003B5407" w:rsidRPr="008820E8" w:rsidRDefault="003B5407" w:rsidP="008929B6">
            <w:pPr>
              <w:jc w:val="left"/>
              <w:rPr>
                <w:rFonts w:ascii="Times New Roman" w:hAnsi="Times New Roman" w:cs="Times New Roman"/>
                <w:color w:val="000000"/>
              </w:rPr>
            </w:pPr>
            <w:r w:rsidRPr="008820E8">
              <w:rPr>
                <w:rFonts w:ascii="Times New Roman" w:hAnsi="Times New Roman" w:cs="Times New Roman"/>
                <w:color w:val="000000"/>
              </w:rPr>
              <w:t>Gross Floor Area</w:t>
            </w:r>
          </w:p>
        </w:tc>
        <w:tc>
          <w:tcPr>
            <w:tcW w:w="2013" w:type="dxa"/>
            <w:shd w:val="clear" w:color="auto" w:fill="auto"/>
          </w:tcPr>
          <w:p w:rsidR="003B5407" w:rsidRPr="008820E8" w:rsidRDefault="003B5407" w:rsidP="008929B6">
            <w:pPr>
              <w:jc w:val="left"/>
              <w:rPr>
                <w:rFonts w:ascii="Times New Roman" w:hAnsi="Times New Roman" w:cs="Times New Roman"/>
                <w:color w:val="000000"/>
              </w:rPr>
            </w:pPr>
          </w:p>
        </w:tc>
        <w:tc>
          <w:tcPr>
            <w:tcW w:w="1988" w:type="dxa"/>
            <w:shd w:val="clear" w:color="auto" w:fill="auto"/>
          </w:tcPr>
          <w:p w:rsidR="003B5407" w:rsidRPr="008929B6" w:rsidRDefault="003B5407" w:rsidP="008929B6">
            <w:pPr>
              <w:jc w:val="left"/>
              <w:rPr>
                <w:rFonts w:ascii="Times New Roman" w:hAnsi="Times New Roman" w:cs="Times New Roman"/>
                <w:color w:val="000000"/>
              </w:rPr>
            </w:pPr>
          </w:p>
        </w:tc>
        <w:tc>
          <w:tcPr>
            <w:tcW w:w="1766" w:type="dxa"/>
            <w:shd w:val="clear" w:color="auto" w:fill="auto"/>
          </w:tcPr>
          <w:p w:rsidR="003B5407" w:rsidRPr="008820E8" w:rsidRDefault="008929B6" w:rsidP="008929B6">
            <w:pPr>
              <w:jc w:val="left"/>
              <w:rPr>
                <w:rFonts w:ascii="Times New Roman" w:hAnsi="Times New Roman" w:cs="Times New Roman"/>
                <w:b/>
                <w:color w:val="000000"/>
              </w:rPr>
            </w:pPr>
            <w:r>
              <w:rPr>
                <w:rFonts w:ascii="Times New Roman" w:hAnsi="Times New Roman" w:cs="Times New Roman"/>
                <w:b/>
                <w:color w:val="000000"/>
              </w:rPr>
              <w:t>Gross Floor Area</w:t>
            </w:r>
          </w:p>
        </w:tc>
        <w:tc>
          <w:tcPr>
            <w:tcW w:w="1766" w:type="dxa"/>
            <w:shd w:val="clear" w:color="auto" w:fill="auto"/>
          </w:tcPr>
          <w:p w:rsidR="003B5407" w:rsidRPr="008820E8" w:rsidRDefault="003B5407" w:rsidP="008929B6">
            <w:pPr>
              <w:jc w:val="left"/>
              <w:rPr>
                <w:rFonts w:ascii="Times New Roman" w:hAnsi="Times New Roman" w:cs="Times New Roman"/>
                <w:color w:val="000000"/>
              </w:rPr>
            </w:pPr>
          </w:p>
        </w:tc>
      </w:tr>
      <w:tr w:rsidR="003B5407" w:rsidRPr="008820E8" w:rsidTr="001F5764">
        <w:tc>
          <w:tcPr>
            <w:tcW w:w="2043" w:type="dxa"/>
            <w:shd w:val="clear" w:color="auto" w:fill="auto"/>
          </w:tcPr>
          <w:p w:rsidR="003B5407" w:rsidRPr="008820E8" w:rsidRDefault="003B5407" w:rsidP="008929B6">
            <w:pPr>
              <w:jc w:val="left"/>
              <w:rPr>
                <w:rFonts w:ascii="Times New Roman" w:hAnsi="Times New Roman" w:cs="Times New Roman"/>
                <w:color w:val="000000"/>
              </w:rPr>
            </w:pPr>
            <w:r w:rsidRPr="008820E8">
              <w:rPr>
                <w:rFonts w:ascii="Times New Roman" w:hAnsi="Times New Roman" w:cs="Times New Roman"/>
                <w:color w:val="000000"/>
              </w:rPr>
              <w:t xml:space="preserve">Household Income </w:t>
            </w:r>
          </w:p>
        </w:tc>
        <w:tc>
          <w:tcPr>
            <w:tcW w:w="2013" w:type="dxa"/>
            <w:shd w:val="clear" w:color="auto" w:fill="auto"/>
          </w:tcPr>
          <w:p w:rsidR="003B5407" w:rsidRPr="008820E8" w:rsidRDefault="003B5407" w:rsidP="008929B6">
            <w:pPr>
              <w:jc w:val="left"/>
              <w:rPr>
                <w:rFonts w:ascii="Times New Roman" w:hAnsi="Times New Roman" w:cs="Times New Roman"/>
                <w:color w:val="000000"/>
              </w:rPr>
            </w:pPr>
          </w:p>
        </w:tc>
        <w:tc>
          <w:tcPr>
            <w:tcW w:w="1988" w:type="dxa"/>
            <w:shd w:val="clear" w:color="auto" w:fill="auto"/>
          </w:tcPr>
          <w:p w:rsidR="003B5407" w:rsidRPr="008929B6" w:rsidRDefault="003B5407" w:rsidP="008929B6">
            <w:pPr>
              <w:jc w:val="left"/>
              <w:rPr>
                <w:rFonts w:ascii="Times New Roman" w:hAnsi="Times New Roman" w:cs="Times New Roman"/>
                <w:color w:val="000000"/>
              </w:rPr>
            </w:pPr>
            <w:r w:rsidRPr="008929B6">
              <w:rPr>
                <w:rFonts w:ascii="Times New Roman" w:hAnsi="Times New Roman" w:cs="Times New Roman"/>
                <w:color w:val="000000"/>
              </w:rPr>
              <w:t xml:space="preserve">Household Income </w:t>
            </w:r>
          </w:p>
        </w:tc>
        <w:tc>
          <w:tcPr>
            <w:tcW w:w="1766" w:type="dxa"/>
            <w:shd w:val="clear" w:color="auto" w:fill="auto"/>
          </w:tcPr>
          <w:p w:rsidR="003B5407" w:rsidRPr="008820E8" w:rsidRDefault="003B5407" w:rsidP="008929B6">
            <w:pPr>
              <w:jc w:val="left"/>
              <w:rPr>
                <w:rFonts w:ascii="Times New Roman" w:hAnsi="Times New Roman" w:cs="Times New Roman"/>
                <w:b/>
                <w:color w:val="000000"/>
              </w:rPr>
            </w:pPr>
            <w:r w:rsidRPr="008820E8">
              <w:rPr>
                <w:rFonts w:ascii="Times New Roman" w:hAnsi="Times New Roman" w:cs="Times New Roman"/>
                <w:b/>
                <w:color w:val="000000"/>
              </w:rPr>
              <w:t>Income group</w:t>
            </w:r>
          </w:p>
        </w:tc>
        <w:tc>
          <w:tcPr>
            <w:tcW w:w="1766" w:type="dxa"/>
            <w:shd w:val="clear" w:color="auto" w:fill="auto"/>
          </w:tcPr>
          <w:p w:rsidR="003B5407" w:rsidRPr="008820E8" w:rsidRDefault="003B5407" w:rsidP="008929B6">
            <w:pPr>
              <w:jc w:val="left"/>
              <w:rPr>
                <w:rFonts w:ascii="Times New Roman" w:hAnsi="Times New Roman" w:cs="Times New Roman"/>
                <w:color w:val="000000"/>
              </w:rPr>
            </w:pPr>
          </w:p>
        </w:tc>
      </w:tr>
      <w:tr w:rsidR="003B5407" w:rsidRPr="008820E8" w:rsidTr="001F5764">
        <w:tc>
          <w:tcPr>
            <w:tcW w:w="2043" w:type="dxa"/>
            <w:shd w:val="clear" w:color="auto" w:fill="auto"/>
          </w:tcPr>
          <w:p w:rsidR="003B5407" w:rsidRPr="008820E8" w:rsidRDefault="008929B6" w:rsidP="008929B6">
            <w:pPr>
              <w:jc w:val="left"/>
              <w:rPr>
                <w:rFonts w:ascii="Times New Roman" w:hAnsi="Times New Roman" w:cs="Times New Roman"/>
                <w:color w:val="000000"/>
              </w:rPr>
            </w:pPr>
            <w:r>
              <w:rPr>
                <w:rFonts w:ascii="Times New Roman" w:hAnsi="Times New Roman" w:cs="Times New Roman"/>
                <w:color w:val="000000"/>
              </w:rPr>
              <w:t>Cost of</w:t>
            </w:r>
            <w:r w:rsidR="003B5407" w:rsidRPr="008820E8">
              <w:rPr>
                <w:rFonts w:ascii="Times New Roman" w:hAnsi="Times New Roman" w:cs="Times New Roman"/>
                <w:color w:val="000000"/>
              </w:rPr>
              <w:t xml:space="preserve"> ordinary electricity use </w:t>
            </w:r>
          </w:p>
        </w:tc>
        <w:tc>
          <w:tcPr>
            <w:tcW w:w="2013" w:type="dxa"/>
            <w:shd w:val="clear" w:color="auto" w:fill="auto"/>
          </w:tcPr>
          <w:p w:rsidR="003B5407" w:rsidRPr="008820E8" w:rsidRDefault="003B5407" w:rsidP="008929B6">
            <w:pPr>
              <w:jc w:val="left"/>
              <w:rPr>
                <w:rFonts w:ascii="Times New Roman" w:hAnsi="Times New Roman" w:cs="Times New Roman"/>
                <w:color w:val="000000"/>
              </w:rPr>
            </w:pPr>
            <w:r w:rsidRPr="008820E8">
              <w:rPr>
                <w:rFonts w:ascii="Times New Roman" w:hAnsi="Times New Roman" w:cs="Times New Roman"/>
                <w:color w:val="000000"/>
              </w:rPr>
              <w:t>Price per kilowatt-hour</w:t>
            </w:r>
          </w:p>
        </w:tc>
        <w:tc>
          <w:tcPr>
            <w:tcW w:w="1988" w:type="dxa"/>
            <w:shd w:val="clear" w:color="auto" w:fill="auto"/>
          </w:tcPr>
          <w:p w:rsidR="003B5407" w:rsidRPr="008929B6" w:rsidRDefault="003B5407" w:rsidP="008929B6">
            <w:pPr>
              <w:jc w:val="left"/>
              <w:rPr>
                <w:rFonts w:ascii="Times New Roman" w:hAnsi="Times New Roman" w:cs="Times New Roman"/>
                <w:color w:val="000000"/>
              </w:rPr>
            </w:pPr>
          </w:p>
        </w:tc>
        <w:tc>
          <w:tcPr>
            <w:tcW w:w="1766" w:type="dxa"/>
            <w:shd w:val="clear" w:color="auto" w:fill="auto"/>
          </w:tcPr>
          <w:p w:rsidR="003B5407" w:rsidRPr="008820E8" w:rsidRDefault="003B5407" w:rsidP="008929B6">
            <w:pPr>
              <w:jc w:val="left"/>
              <w:rPr>
                <w:rFonts w:ascii="Times New Roman" w:hAnsi="Times New Roman" w:cs="Times New Roman"/>
                <w:b/>
                <w:color w:val="000000"/>
              </w:rPr>
            </w:pPr>
            <w:r w:rsidRPr="008820E8">
              <w:rPr>
                <w:rFonts w:ascii="Times New Roman" w:hAnsi="Times New Roman" w:cs="Times New Roman"/>
                <w:b/>
                <w:color w:val="000000"/>
              </w:rPr>
              <w:t xml:space="preserve">Total ordinary electricity use </w:t>
            </w:r>
          </w:p>
        </w:tc>
        <w:tc>
          <w:tcPr>
            <w:tcW w:w="1766" w:type="dxa"/>
            <w:shd w:val="clear" w:color="auto" w:fill="auto"/>
          </w:tcPr>
          <w:p w:rsidR="003B5407" w:rsidRPr="008820E8" w:rsidRDefault="003B5407" w:rsidP="008929B6">
            <w:pPr>
              <w:jc w:val="left"/>
              <w:rPr>
                <w:rFonts w:ascii="Times New Roman" w:hAnsi="Times New Roman" w:cs="Times New Roman"/>
                <w:color w:val="000000"/>
              </w:rPr>
            </w:pPr>
            <w:r w:rsidRPr="008820E8">
              <w:rPr>
                <w:rFonts w:ascii="Times New Roman" w:hAnsi="Times New Roman" w:cs="Times New Roman"/>
                <w:color w:val="000000"/>
              </w:rPr>
              <w:t>Total ordinary electricity use</w:t>
            </w:r>
          </w:p>
        </w:tc>
      </w:tr>
      <w:tr w:rsidR="003B5407" w:rsidRPr="008820E8" w:rsidTr="001F5764">
        <w:tc>
          <w:tcPr>
            <w:tcW w:w="2043" w:type="dxa"/>
            <w:shd w:val="clear" w:color="auto" w:fill="auto"/>
          </w:tcPr>
          <w:p w:rsidR="003B5407" w:rsidRPr="008820E8" w:rsidRDefault="003B5407" w:rsidP="0018348F">
            <w:pPr>
              <w:rPr>
                <w:rFonts w:ascii="Times New Roman" w:hAnsi="Times New Roman" w:cs="Times New Roman"/>
                <w:color w:val="000000"/>
              </w:rPr>
            </w:pPr>
            <w:r w:rsidRPr="008820E8">
              <w:rPr>
                <w:rFonts w:ascii="Times New Roman" w:hAnsi="Times New Roman" w:cs="Times New Roman"/>
                <w:color w:val="000000"/>
              </w:rPr>
              <w:t>Method of payment</w:t>
            </w:r>
          </w:p>
        </w:tc>
        <w:tc>
          <w:tcPr>
            <w:tcW w:w="2013" w:type="dxa"/>
            <w:shd w:val="clear" w:color="auto" w:fill="auto"/>
          </w:tcPr>
          <w:p w:rsidR="003B5407" w:rsidRPr="008820E8" w:rsidRDefault="003B5407" w:rsidP="0018348F">
            <w:pPr>
              <w:rPr>
                <w:rFonts w:ascii="Times New Roman" w:hAnsi="Times New Roman" w:cs="Times New Roman"/>
                <w:color w:val="000000"/>
              </w:rPr>
            </w:pPr>
            <w:r w:rsidRPr="008820E8">
              <w:rPr>
                <w:rFonts w:ascii="Times New Roman" w:hAnsi="Times New Roman" w:cs="Times New Roman"/>
                <w:color w:val="000000"/>
              </w:rPr>
              <w:t>Method of payment</w:t>
            </w:r>
          </w:p>
        </w:tc>
        <w:tc>
          <w:tcPr>
            <w:tcW w:w="1988" w:type="dxa"/>
            <w:shd w:val="clear" w:color="auto" w:fill="auto"/>
          </w:tcPr>
          <w:p w:rsidR="003B5407" w:rsidRPr="008929B6" w:rsidRDefault="003B5407" w:rsidP="0018348F">
            <w:pPr>
              <w:rPr>
                <w:rFonts w:ascii="Times New Roman" w:hAnsi="Times New Roman" w:cs="Times New Roman"/>
                <w:color w:val="000000"/>
              </w:rPr>
            </w:pPr>
          </w:p>
        </w:tc>
        <w:tc>
          <w:tcPr>
            <w:tcW w:w="1766" w:type="dxa"/>
            <w:shd w:val="clear" w:color="auto" w:fill="auto"/>
          </w:tcPr>
          <w:p w:rsidR="003B5407" w:rsidRPr="008820E8" w:rsidRDefault="003B5407" w:rsidP="0018348F">
            <w:pPr>
              <w:rPr>
                <w:rFonts w:ascii="Times New Roman" w:hAnsi="Times New Roman" w:cs="Times New Roman"/>
                <w:color w:val="000000"/>
              </w:rPr>
            </w:pPr>
          </w:p>
        </w:tc>
        <w:tc>
          <w:tcPr>
            <w:tcW w:w="1766" w:type="dxa"/>
            <w:shd w:val="clear" w:color="auto" w:fill="auto"/>
          </w:tcPr>
          <w:p w:rsidR="003B5407" w:rsidRPr="008820E8" w:rsidRDefault="003B5407" w:rsidP="0018348F">
            <w:pPr>
              <w:rPr>
                <w:rFonts w:ascii="Times New Roman" w:hAnsi="Times New Roman" w:cs="Times New Roman"/>
                <w:color w:val="000000"/>
              </w:rPr>
            </w:pPr>
          </w:p>
        </w:tc>
      </w:tr>
    </w:tbl>
    <w:p w:rsidR="003B5407" w:rsidRPr="008820E8" w:rsidRDefault="003B5407" w:rsidP="003B5407">
      <w:pPr>
        <w:jc w:val="center"/>
        <w:rPr>
          <w:b/>
          <w:color w:val="000000"/>
          <w:sz w:val="22"/>
          <w:szCs w:val="22"/>
        </w:rPr>
      </w:pPr>
      <w:r w:rsidRPr="008820E8">
        <w:rPr>
          <w:sz w:val="22"/>
          <w:szCs w:val="22"/>
        </w:rPr>
        <w:t xml:space="preserve">Table </w:t>
      </w:r>
      <w:r w:rsidR="00EE0747" w:rsidRPr="008820E8">
        <w:rPr>
          <w:sz w:val="22"/>
          <w:szCs w:val="22"/>
        </w:rPr>
        <w:fldChar w:fldCharType="begin"/>
      </w:r>
      <w:r w:rsidRPr="008820E8">
        <w:rPr>
          <w:sz w:val="22"/>
          <w:szCs w:val="22"/>
        </w:rPr>
        <w:instrText xml:space="preserve"> SEQ Table \* ARABIC </w:instrText>
      </w:r>
      <w:r w:rsidR="00EE0747" w:rsidRPr="008820E8">
        <w:rPr>
          <w:sz w:val="22"/>
          <w:szCs w:val="22"/>
        </w:rPr>
        <w:fldChar w:fldCharType="separate"/>
      </w:r>
      <w:r w:rsidR="00F3241C">
        <w:rPr>
          <w:noProof/>
          <w:sz w:val="22"/>
          <w:szCs w:val="22"/>
        </w:rPr>
        <w:t>1</w:t>
      </w:r>
      <w:r w:rsidR="00EE0747" w:rsidRPr="008820E8">
        <w:rPr>
          <w:sz w:val="22"/>
          <w:szCs w:val="22"/>
        </w:rPr>
        <w:fldChar w:fldCharType="end"/>
      </w:r>
      <w:r w:rsidRPr="008820E8">
        <w:rPr>
          <w:sz w:val="22"/>
          <w:szCs w:val="22"/>
        </w:rPr>
        <w:t>: Referenced and Dervied datasets (</w:t>
      </w:r>
      <w:r w:rsidRPr="008820E8">
        <w:rPr>
          <w:color w:val="000000"/>
          <w:sz w:val="22"/>
          <w:szCs w:val="22"/>
        </w:rPr>
        <w:t xml:space="preserve">Plain = given data </w:t>
      </w:r>
      <w:r w:rsidRPr="008820E8">
        <w:rPr>
          <w:b/>
          <w:color w:val="000000"/>
          <w:sz w:val="22"/>
          <w:szCs w:val="22"/>
        </w:rPr>
        <w:t>Bold = derived data)</w:t>
      </w:r>
    </w:p>
    <w:p w:rsidR="008820E8" w:rsidRDefault="008820E8" w:rsidP="000359C2">
      <w:pPr>
        <w:rPr>
          <w:rFonts w:eastAsiaTheme="minorHAnsi"/>
          <w:b/>
          <w:bCs/>
          <w:sz w:val="18"/>
          <w:szCs w:val="18"/>
          <w:lang w:val="en-GB" w:eastAsia="en-US"/>
        </w:rPr>
      </w:pPr>
    </w:p>
    <w:p w:rsidR="000359C2" w:rsidRDefault="003B5407" w:rsidP="000359C2">
      <w:r>
        <w:t>As shown in Figure 1, The EHCS/RPI/</w:t>
      </w:r>
      <w:r w:rsidR="007C3E0B">
        <w:t>Census</w:t>
      </w:r>
      <w:r>
        <w:t xml:space="preserve"> derived dataset needs to both be able to produce an estimate for total residential ordinary electricity consumption for each MLSOA through analysis of the survey data and by running a large version of the BREDEM algorithm based on numbers of people, floorspace, and electric cooking trends.</w:t>
      </w:r>
      <w:r w:rsidR="000359C2">
        <w:t xml:space="preserve"> </w:t>
      </w:r>
    </w:p>
    <w:p w:rsidR="007C3E0B" w:rsidRDefault="007C3E0B" w:rsidP="000359C2">
      <w:pPr>
        <w:rPr>
          <w:color w:val="000000"/>
        </w:rPr>
      </w:pPr>
    </w:p>
    <w:p w:rsidR="00670C50" w:rsidRPr="000359C2" w:rsidRDefault="00DC7AF3" w:rsidP="000359C2">
      <w:r>
        <w:rPr>
          <w:noProof/>
          <w:lang w:val="en-US" w:eastAsia="en-US"/>
        </w:rPr>
        <w:drawing>
          <wp:inline distT="0" distB="0" distL="0" distR="0">
            <wp:extent cx="5580380" cy="1800225"/>
            <wp:effectExtent l="19050" t="0" r="1270" b="0"/>
            <wp:docPr id="6" name="Picture 5" descr="total elec consumption bw landscape-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al elec consumption bw landscape-copy.jpeg"/>
                    <pic:cNvPicPr/>
                  </pic:nvPicPr>
                  <pic:blipFill>
                    <a:blip r:embed="rId8" cstate="print"/>
                    <a:stretch>
                      <a:fillRect/>
                    </a:stretch>
                  </pic:blipFill>
                  <pic:spPr>
                    <a:xfrm>
                      <a:off x="0" y="0"/>
                      <a:ext cx="5580380" cy="1800225"/>
                    </a:xfrm>
                    <a:prstGeom prst="rect">
                      <a:avLst/>
                    </a:prstGeom>
                  </pic:spPr>
                </pic:pic>
              </a:graphicData>
            </a:graphic>
          </wp:inline>
        </w:drawing>
      </w:r>
    </w:p>
    <w:p w:rsidR="0006332F" w:rsidRPr="0006332F" w:rsidRDefault="0006332F" w:rsidP="0006332F">
      <w:pPr>
        <w:pStyle w:val="Caption"/>
        <w:jc w:val="center"/>
        <w:rPr>
          <w:rFonts w:ascii="Times New Roman" w:hAnsi="Times New Roman" w:cs="Times New Roman"/>
          <w:b w:val="0"/>
          <w:color w:val="auto"/>
          <w:sz w:val="22"/>
          <w:szCs w:val="22"/>
        </w:rPr>
      </w:pPr>
      <w:r w:rsidRPr="0006332F">
        <w:rPr>
          <w:rFonts w:ascii="Times New Roman" w:hAnsi="Times New Roman" w:cs="Times New Roman"/>
          <w:b w:val="0"/>
          <w:color w:val="auto"/>
          <w:sz w:val="22"/>
          <w:szCs w:val="22"/>
        </w:rPr>
        <w:t xml:space="preserve">Figure </w:t>
      </w:r>
      <w:r w:rsidRPr="0006332F">
        <w:rPr>
          <w:rFonts w:ascii="Times New Roman" w:hAnsi="Times New Roman" w:cs="Times New Roman"/>
          <w:b w:val="0"/>
          <w:color w:val="auto"/>
          <w:sz w:val="22"/>
          <w:szCs w:val="22"/>
        </w:rPr>
        <w:fldChar w:fldCharType="begin"/>
      </w:r>
      <w:r w:rsidRPr="0006332F">
        <w:rPr>
          <w:rFonts w:ascii="Times New Roman" w:hAnsi="Times New Roman" w:cs="Times New Roman"/>
          <w:b w:val="0"/>
          <w:color w:val="auto"/>
          <w:sz w:val="22"/>
          <w:szCs w:val="22"/>
        </w:rPr>
        <w:instrText xml:space="preserve"> SEQ Figure \* ARABIC </w:instrText>
      </w:r>
      <w:r w:rsidRPr="0006332F">
        <w:rPr>
          <w:rFonts w:ascii="Times New Roman" w:hAnsi="Times New Roman" w:cs="Times New Roman"/>
          <w:b w:val="0"/>
          <w:color w:val="auto"/>
          <w:sz w:val="22"/>
          <w:szCs w:val="22"/>
        </w:rPr>
        <w:fldChar w:fldCharType="separate"/>
      </w:r>
      <w:r w:rsidRPr="0006332F">
        <w:rPr>
          <w:rFonts w:ascii="Times New Roman" w:hAnsi="Times New Roman" w:cs="Times New Roman"/>
          <w:b w:val="0"/>
          <w:noProof/>
          <w:color w:val="auto"/>
          <w:sz w:val="22"/>
          <w:szCs w:val="22"/>
        </w:rPr>
        <w:t>1</w:t>
      </w:r>
      <w:r w:rsidRPr="0006332F">
        <w:rPr>
          <w:rFonts w:ascii="Times New Roman" w:hAnsi="Times New Roman" w:cs="Times New Roman"/>
          <w:b w:val="0"/>
          <w:color w:val="auto"/>
          <w:sz w:val="22"/>
          <w:szCs w:val="22"/>
        </w:rPr>
        <w:fldChar w:fldCharType="end"/>
      </w:r>
      <w:r w:rsidRPr="0006332F">
        <w:rPr>
          <w:rFonts w:ascii="Times New Roman" w:hAnsi="Times New Roman" w:cs="Times New Roman"/>
          <w:b w:val="0"/>
          <w:color w:val="auto"/>
          <w:sz w:val="22"/>
          <w:szCs w:val="22"/>
        </w:rPr>
        <w:t>: Residential electricity consumption estimates and derived dataset requirements (in bold)</w:t>
      </w:r>
    </w:p>
    <w:p w:rsidR="0006332F" w:rsidRDefault="000359C2" w:rsidP="0006332F">
      <w:pPr>
        <w:keepNext/>
        <w:rPr>
          <w:noProof/>
          <w:color w:val="000000"/>
          <w:lang w:val="en-US" w:eastAsia="en-US"/>
        </w:rPr>
      </w:pPr>
      <w:r>
        <w:rPr>
          <w:color w:val="000000"/>
        </w:rPr>
        <w:t xml:space="preserve">Data obtained on each dwelling in the EHCS were the English region, dwelling type (e.g. detached house), area type (urban, surburban, and rural), household income level, payment type for electricity, and spending on appliances and lighting and cooking, which is closely connected to annual spending on ordinary electricity use. The annual spend on electricity in each dwelling was converted to annual kilowatt-hours based on regional energy price data. A mean ordinary electricity consumption per dwelling was averaged by region, dwelling type, and household income group. National trends on ownership and usage of hobs and overs were merged to create a proportion of electric-to-gas cooking consumption per year </w:t>
      </w:r>
      <w:r w:rsidR="00EE0747">
        <w:rPr>
          <w:color w:val="000000"/>
        </w:rPr>
        <w:fldChar w:fldCharType="begin"/>
      </w:r>
      <w:r w:rsidR="004A47DD">
        <w:rPr>
          <w:color w:val="000000"/>
        </w:rPr>
        <w:instrText xml:space="preserve"> ADDIN EN.CITE &lt;EndNote&gt;&lt;Cite&gt;&lt;Author&gt;Market Transformation Programme&lt;/Author&gt;&lt;Year&gt;2008&lt;/Year&gt;&lt;RecNum&gt;328&lt;/RecNum&gt;&lt;record&gt;&lt;rec-number&gt;328&lt;/rec-number&gt;&lt;foreign-keys&gt;&lt;key app="EN" db-id="eevwfxrrzrfz57e0dvlxs9ase2wpv5edvdxe"&gt;328&lt;/key&gt;&lt;key app="ENWeb" db-id="StStGgrtqgYAAETUQsc"&gt;36&lt;/key&gt;&lt;/foreign-keys&gt;&lt;ref-type name="Report"&gt;27&lt;/ref-type&gt;&lt;contributors&gt;&lt;authors&gt;&lt;author&gt;Market Transformation Programme,&lt;/author&gt;&lt;/authors&gt;&lt;/contributors&gt;&lt;titles&gt;&lt;title&gt;BNCK01: Assumptions underlying the energy projections of cooking appliances&lt;/title&gt;&lt;/titles&gt;&lt;edition&gt;3.2&lt;/edition&gt;&lt;dates&gt;&lt;year&gt;2008&lt;/year&gt;&lt;pub-dates&gt;&lt;date&gt;18/01/2008&lt;/date&gt;&lt;/pub-dates&gt;&lt;/dates&gt;&lt;pub-location&gt;Didcot, UK&lt;/pub-location&gt;&lt;urls&gt;&lt;/urls&gt;&lt;/record&gt;&lt;/Cite&gt;&lt;/EndNote&gt;</w:instrText>
      </w:r>
      <w:r w:rsidR="00EE0747">
        <w:rPr>
          <w:color w:val="000000"/>
        </w:rPr>
        <w:fldChar w:fldCharType="separate"/>
      </w:r>
      <w:r w:rsidR="0008284F">
        <w:rPr>
          <w:noProof/>
          <w:color w:val="000000"/>
        </w:rPr>
        <w:t>[4]</w:t>
      </w:r>
      <w:r w:rsidR="00EE0747">
        <w:rPr>
          <w:color w:val="000000"/>
        </w:rPr>
        <w:fldChar w:fldCharType="end"/>
      </w:r>
      <w:r>
        <w:rPr>
          <w:color w:val="000000"/>
        </w:rPr>
        <w:t xml:space="preserve">. </w:t>
      </w:r>
      <w:r w:rsidR="00322A98">
        <w:rPr>
          <w:color w:val="000000"/>
        </w:rPr>
        <w:t>Figure 2 describes this process.</w:t>
      </w:r>
      <w:r w:rsidR="0006332F" w:rsidRPr="0006332F">
        <w:rPr>
          <w:noProof/>
          <w:color w:val="000000"/>
          <w:lang w:val="en-US" w:eastAsia="en-US"/>
        </w:rPr>
        <w:t xml:space="preserve"> </w:t>
      </w:r>
    </w:p>
    <w:p w:rsidR="0006332F" w:rsidRDefault="0006332F" w:rsidP="0006332F">
      <w:pPr>
        <w:keepNext/>
      </w:pPr>
    </w:p>
    <w:p w:rsidR="00670C50" w:rsidRDefault="00670C50" w:rsidP="003B5407">
      <w:pPr>
        <w:rPr>
          <w:color w:val="000000"/>
        </w:rPr>
      </w:pPr>
    </w:p>
    <w:p w:rsidR="00A87E28" w:rsidRDefault="00322A98" w:rsidP="00A87E28">
      <w:pPr>
        <w:keepNext/>
      </w:pPr>
      <w:r>
        <w:rPr>
          <w:noProof/>
          <w:lang w:val="en-US" w:eastAsia="en-US"/>
        </w:rPr>
        <w:lastRenderedPageBreak/>
        <w:drawing>
          <wp:inline distT="0" distB="0" distL="0" distR="0">
            <wp:extent cx="5580380" cy="2855595"/>
            <wp:effectExtent l="19050" t="0" r="1270" b="0"/>
            <wp:docPr id="20" name="Picture 19" descr="electricity consumption derived bw-copy-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icity consumption derived bw-copy-copy.jpeg"/>
                    <pic:cNvPicPr/>
                  </pic:nvPicPr>
                  <pic:blipFill>
                    <a:blip r:embed="rId9" cstate="print"/>
                    <a:stretch>
                      <a:fillRect/>
                    </a:stretch>
                  </pic:blipFill>
                  <pic:spPr>
                    <a:xfrm>
                      <a:off x="0" y="0"/>
                      <a:ext cx="5580380" cy="2855595"/>
                    </a:xfrm>
                    <a:prstGeom prst="rect">
                      <a:avLst/>
                    </a:prstGeom>
                  </pic:spPr>
                </pic:pic>
              </a:graphicData>
            </a:graphic>
          </wp:inline>
        </w:drawing>
      </w:r>
    </w:p>
    <w:p w:rsidR="00322A98" w:rsidRPr="00A87E28" w:rsidRDefault="00A87E28" w:rsidP="00A87E28">
      <w:pPr>
        <w:pStyle w:val="Caption"/>
        <w:jc w:val="center"/>
        <w:rPr>
          <w:rFonts w:ascii="Times New Roman" w:hAnsi="Times New Roman" w:cs="Times New Roman"/>
          <w:b w:val="0"/>
          <w:color w:val="auto"/>
          <w:sz w:val="22"/>
          <w:szCs w:val="22"/>
        </w:rPr>
      </w:pPr>
      <w:r w:rsidRPr="00A87E28">
        <w:rPr>
          <w:rFonts w:ascii="Times New Roman" w:hAnsi="Times New Roman" w:cs="Times New Roman"/>
          <w:b w:val="0"/>
          <w:color w:val="auto"/>
          <w:sz w:val="22"/>
          <w:szCs w:val="22"/>
        </w:rPr>
        <w:t xml:space="preserve">Figure </w:t>
      </w:r>
      <w:r w:rsidR="00EE0747" w:rsidRPr="00A87E28">
        <w:rPr>
          <w:rFonts w:ascii="Times New Roman" w:hAnsi="Times New Roman" w:cs="Times New Roman"/>
          <w:b w:val="0"/>
          <w:color w:val="auto"/>
          <w:sz w:val="22"/>
          <w:szCs w:val="22"/>
        </w:rPr>
        <w:fldChar w:fldCharType="begin"/>
      </w:r>
      <w:r w:rsidRPr="00A87E28">
        <w:rPr>
          <w:rFonts w:ascii="Times New Roman" w:hAnsi="Times New Roman" w:cs="Times New Roman"/>
          <w:b w:val="0"/>
          <w:color w:val="auto"/>
          <w:sz w:val="22"/>
          <w:szCs w:val="22"/>
        </w:rPr>
        <w:instrText xml:space="preserve"> SEQ Figure \* ARABIC </w:instrText>
      </w:r>
      <w:r w:rsidR="00EE0747" w:rsidRPr="00A87E28">
        <w:rPr>
          <w:rFonts w:ascii="Times New Roman" w:hAnsi="Times New Roman" w:cs="Times New Roman"/>
          <w:b w:val="0"/>
          <w:color w:val="auto"/>
          <w:sz w:val="22"/>
          <w:szCs w:val="22"/>
        </w:rPr>
        <w:fldChar w:fldCharType="separate"/>
      </w:r>
      <w:r w:rsidR="0006332F">
        <w:rPr>
          <w:rFonts w:ascii="Times New Roman" w:hAnsi="Times New Roman" w:cs="Times New Roman"/>
          <w:b w:val="0"/>
          <w:noProof/>
          <w:color w:val="auto"/>
          <w:sz w:val="22"/>
          <w:szCs w:val="22"/>
        </w:rPr>
        <w:t>2</w:t>
      </w:r>
      <w:r w:rsidR="00EE0747" w:rsidRPr="00A87E28">
        <w:rPr>
          <w:rFonts w:ascii="Times New Roman" w:hAnsi="Times New Roman" w:cs="Times New Roman"/>
          <w:b w:val="0"/>
          <w:color w:val="auto"/>
          <w:sz w:val="22"/>
          <w:szCs w:val="22"/>
        </w:rPr>
        <w:fldChar w:fldCharType="end"/>
      </w:r>
      <w:r w:rsidRPr="00A87E28">
        <w:rPr>
          <w:rFonts w:ascii="Times New Roman" w:hAnsi="Times New Roman" w:cs="Times New Roman"/>
          <w:b w:val="0"/>
          <w:color w:val="auto"/>
          <w:sz w:val="22"/>
          <w:szCs w:val="22"/>
        </w:rPr>
        <w:t>: Calculating average ordinary electricity consumption per dwelling</w:t>
      </w:r>
    </w:p>
    <w:p w:rsidR="00670C50" w:rsidRPr="00307FB5" w:rsidRDefault="00670C50" w:rsidP="00670C50">
      <w:pPr>
        <w:pStyle w:val="Heading1"/>
      </w:pPr>
      <w:r>
        <w:t>Results</w:t>
      </w:r>
      <w:r w:rsidR="007252FB">
        <w:t xml:space="preserve"> and Analysis</w:t>
      </w:r>
    </w:p>
    <w:p w:rsidR="00670C50" w:rsidRPr="008820E8" w:rsidRDefault="00670C50" w:rsidP="00670C50">
      <w:pPr>
        <w:rPr>
          <w:szCs w:val="24"/>
        </w:rPr>
      </w:pPr>
      <w:r w:rsidRPr="008820E8">
        <w:rPr>
          <w:szCs w:val="24"/>
        </w:rPr>
        <w:t xml:space="preserve">For each MLSOA, the three estimates of total electricity use per household (survey - spatial version, survey – income version, and BREDEM 2001) were plotted against:  </w:t>
      </w:r>
    </w:p>
    <w:p w:rsidR="00670C50" w:rsidRPr="008820E8" w:rsidRDefault="00670C50" w:rsidP="00A179BD">
      <w:pPr>
        <w:pStyle w:val="ListParagraph"/>
        <w:numPr>
          <w:ilvl w:val="0"/>
          <w:numId w:val="4"/>
        </w:numPr>
        <w:rPr>
          <w:rFonts w:ascii="Times New Roman" w:hAnsi="Times New Roman" w:cs="Times New Roman"/>
          <w:sz w:val="24"/>
          <w:szCs w:val="24"/>
        </w:rPr>
      </w:pPr>
      <w:r w:rsidRPr="008820E8">
        <w:rPr>
          <w:rFonts w:ascii="Times New Roman" w:hAnsi="Times New Roman" w:cs="Times New Roman"/>
          <w:sz w:val="24"/>
          <w:szCs w:val="24"/>
        </w:rPr>
        <w:t>Total residential floorspace times population divided by households, which equals the floor area times numbers of occupants per household</w:t>
      </w:r>
    </w:p>
    <w:p w:rsidR="00670C50" w:rsidRPr="008820E8" w:rsidRDefault="00670C50" w:rsidP="00A179BD">
      <w:pPr>
        <w:pStyle w:val="ListParagraph"/>
        <w:numPr>
          <w:ilvl w:val="0"/>
          <w:numId w:val="4"/>
        </w:numPr>
        <w:rPr>
          <w:rFonts w:ascii="Times New Roman" w:hAnsi="Times New Roman" w:cs="Times New Roman"/>
          <w:sz w:val="24"/>
          <w:szCs w:val="24"/>
        </w:rPr>
      </w:pPr>
      <w:r w:rsidRPr="008820E8">
        <w:rPr>
          <w:rFonts w:ascii="Times New Roman" w:hAnsi="Times New Roman" w:cs="Times New Roman"/>
          <w:sz w:val="24"/>
          <w:szCs w:val="24"/>
        </w:rPr>
        <w:t>Income per household</w:t>
      </w:r>
    </w:p>
    <w:p w:rsidR="008820E8" w:rsidRPr="008820E8" w:rsidRDefault="00670C50" w:rsidP="00670C50">
      <w:pPr>
        <w:rPr>
          <w:szCs w:val="24"/>
        </w:rPr>
      </w:pPr>
      <w:r w:rsidRPr="008820E8">
        <w:rPr>
          <w:b/>
          <w:szCs w:val="24"/>
        </w:rPr>
        <w:t>Finding</w:t>
      </w:r>
      <w:r w:rsidR="008820E8" w:rsidRPr="008820E8">
        <w:rPr>
          <w:b/>
          <w:szCs w:val="24"/>
        </w:rPr>
        <w:t>s</w:t>
      </w:r>
      <w:r w:rsidRPr="008820E8">
        <w:rPr>
          <w:szCs w:val="24"/>
        </w:rPr>
        <w:t xml:space="preserve">: </w:t>
      </w:r>
    </w:p>
    <w:p w:rsidR="008820E8" w:rsidRPr="008820E8" w:rsidRDefault="00670C50" w:rsidP="00A179BD">
      <w:pPr>
        <w:pStyle w:val="ListParagraph"/>
        <w:numPr>
          <w:ilvl w:val="0"/>
          <w:numId w:val="3"/>
        </w:numPr>
        <w:rPr>
          <w:rFonts w:ascii="Times New Roman" w:hAnsi="Times New Roman" w:cs="Times New Roman"/>
          <w:sz w:val="24"/>
          <w:szCs w:val="24"/>
        </w:rPr>
      </w:pPr>
      <w:r w:rsidRPr="008820E8">
        <w:rPr>
          <w:rFonts w:ascii="Times New Roman" w:hAnsi="Times New Roman" w:cs="Times New Roman"/>
          <w:sz w:val="24"/>
          <w:szCs w:val="24"/>
        </w:rPr>
        <w:t>The planning and building regulations in force from 2001-2005 underestimated the ordinary electricity consumption of households by half of both the reported energy use in the surveys, and also by half or more the average electricity use per household reported in each MLSOA (the DECC data)</w:t>
      </w:r>
      <w:r w:rsidR="00E155C0">
        <w:rPr>
          <w:rFonts w:ascii="Times New Roman" w:hAnsi="Times New Roman" w:cs="Times New Roman"/>
          <w:sz w:val="24"/>
          <w:szCs w:val="24"/>
        </w:rPr>
        <w:t xml:space="preserve"> as shown in Figure 3</w:t>
      </w:r>
      <w:r w:rsidRPr="008820E8">
        <w:rPr>
          <w:rFonts w:ascii="Times New Roman" w:hAnsi="Times New Roman" w:cs="Times New Roman"/>
          <w:sz w:val="24"/>
          <w:szCs w:val="24"/>
        </w:rPr>
        <w:t xml:space="preserve">. </w:t>
      </w:r>
    </w:p>
    <w:p w:rsidR="008820E8" w:rsidRPr="008820E8" w:rsidRDefault="00670C50" w:rsidP="00A179BD">
      <w:pPr>
        <w:pStyle w:val="ListParagraph"/>
        <w:numPr>
          <w:ilvl w:val="0"/>
          <w:numId w:val="3"/>
        </w:numPr>
        <w:rPr>
          <w:rFonts w:ascii="Times New Roman" w:hAnsi="Times New Roman" w:cs="Times New Roman"/>
          <w:sz w:val="24"/>
          <w:szCs w:val="24"/>
        </w:rPr>
      </w:pPr>
      <w:r w:rsidRPr="008820E8">
        <w:rPr>
          <w:rFonts w:ascii="Times New Roman" w:hAnsi="Times New Roman" w:cs="Times New Roman"/>
          <w:sz w:val="24"/>
          <w:szCs w:val="24"/>
        </w:rPr>
        <w:t xml:space="preserve">Both BREDEM and the survey data show a </w:t>
      </w:r>
      <w:r w:rsidR="00E42F1C" w:rsidRPr="008820E8">
        <w:rPr>
          <w:rFonts w:ascii="Times New Roman" w:hAnsi="Times New Roman" w:cs="Times New Roman"/>
          <w:sz w:val="24"/>
          <w:szCs w:val="24"/>
        </w:rPr>
        <w:t>similar</w:t>
      </w:r>
      <w:r w:rsidRPr="008820E8">
        <w:rPr>
          <w:rFonts w:ascii="Times New Roman" w:hAnsi="Times New Roman" w:cs="Times New Roman"/>
          <w:sz w:val="24"/>
          <w:szCs w:val="24"/>
        </w:rPr>
        <w:t xml:space="preserve"> increase in consumption in proportion to floor area and numbers of people </w:t>
      </w:r>
      <w:r w:rsidR="00E42F1C" w:rsidRPr="008820E8">
        <w:rPr>
          <w:rFonts w:ascii="Times New Roman" w:hAnsi="Times New Roman" w:cs="Times New Roman"/>
          <w:sz w:val="24"/>
          <w:szCs w:val="24"/>
        </w:rPr>
        <w:t>as in the</w:t>
      </w:r>
      <w:r w:rsidRPr="008820E8">
        <w:rPr>
          <w:rFonts w:ascii="Times New Roman" w:hAnsi="Times New Roman" w:cs="Times New Roman"/>
          <w:sz w:val="24"/>
          <w:szCs w:val="24"/>
        </w:rPr>
        <w:t xml:space="preserve"> DECC data</w:t>
      </w:r>
      <w:r w:rsidR="00E42F1C" w:rsidRPr="008820E8">
        <w:rPr>
          <w:rFonts w:ascii="Times New Roman" w:hAnsi="Times New Roman" w:cs="Times New Roman"/>
          <w:sz w:val="24"/>
          <w:szCs w:val="24"/>
        </w:rPr>
        <w:t xml:space="preserve"> indicates</w:t>
      </w:r>
      <w:r w:rsidRPr="008820E8">
        <w:rPr>
          <w:rFonts w:ascii="Times New Roman" w:hAnsi="Times New Roman" w:cs="Times New Roman"/>
          <w:sz w:val="24"/>
          <w:szCs w:val="24"/>
        </w:rPr>
        <w:t xml:space="preserve">.  </w:t>
      </w:r>
    </w:p>
    <w:p w:rsidR="00A87E28" w:rsidRDefault="00670C50" w:rsidP="00A179BD">
      <w:pPr>
        <w:pStyle w:val="ListParagraph"/>
        <w:numPr>
          <w:ilvl w:val="0"/>
          <w:numId w:val="3"/>
        </w:numPr>
      </w:pPr>
      <w:r w:rsidRPr="008820E8">
        <w:rPr>
          <w:rFonts w:ascii="Times New Roman" w:hAnsi="Times New Roman" w:cs="Times New Roman"/>
          <w:sz w:val="24"/>
          <w:szCs w:val="24"/>
        </w:rPr>
        <w:t xml:space="preserve">When the EHCS survey, DECC data, and BREDEM electricity totals per household are plotted against income per household, the survey and BREDEM estimates show </w:t>
      </w:r>
      <w:r w:rsidR="00E42F1C" w:rsidRPr="008820E8">
        <w:rPr>
          <w:rFonts w:ascii="Times New Roman" w:hAnsi="Times New Roman" w:cs="Times New Roman"/>
          <w:sz w:val="24"/>
          <w:szCs w:val="24"/>
        </w:rPr>
        <w:t>less</w:t>
      </w:r>
      <w:r w:rsidRPr="008820E8">
        <w:rPr>
          <w:rFonts w:ascii="Times New Roman" w:hAnsi="Times New Roman" w:cs="Times New Roman"/>
          <w:sz w:val="24"/>
          <w:szCs w:val="24"/>
        </w:rPr>
        <w:t xml:space="preserve"> increase in energy use based on income compared with the DECC data</w:t>
      </w:r>
      <w:r w:rsidR="0006332F">
        <w:rPr>
          <w:rFonts w:ascii="Times New Roman" w:hAnsi="Times New Roman" w:cs="Times New Roman"/>
          <w:sz w:val="24"/>
          <w:szCs w:val="24"/>
        </w:rPr>
        <w:t xml:space="preserve"> as shown in Figure 3</w:t>
      </w:r>
      <w:r w:rsidRPr="008820E8">
        <w:rPr>
          <w:rFonts w:ascii="Times New Roman" w:hAnsi="Times New Roman" w:cs="Times New Roman"/>
          <w:sz w:val="24"/>
          <w:szCs w:val="24"/>
        </w:rPr>
        <w:t>.</w:t>
      </w:r>
      <w:r>
        <w:t xml:space="preserve"> </w:t>
      </w:r>
    </w:p>
    <w:p w:rsidR="00A95193" w:rsidRDefault="007252FB" w:rsidP="00A95193">
      <w:r>
        <w:t xml:space="preserve">Discrepancies are the largest in higher incomes and therefore income is valuable for estimating electricity consumption in high income areas. </w:t>
      </w:r>
      <w:r w:rsidR="00A95193">
        <w:t xml:space="preserve">The spread of individual homes’ electricity use in the EHCS against household income shows an even spread of homes surveyed against both variables. The income of the homes surveyed by the EHCS from 2002-2006 </w:t>
      </w:r>
      <w:r w:rsidR="006477D4">
        <w:t xml:space="preserve">is often significantly less </w:t>
      </w:r>
      <w:r w:rsidR="00A95193">
        <w:t>than the average household income</w:t>
      </w:r>
      <w:r w:rsidR="006477D4">
        <w:t xml:space="preserve"> in the same region</w:t>
      </w:r>
      <w:r w:rsidR="00A95193">
        <w:t>. The index of net household wealth per head more than doubled between the early 1990s when the BREDEM 2001 version was first in development, and the mid-2000 when the EHCS and DECC data was taken</w:t>
      </w:r>
      <w:r w:rsidR="006477D4">
        <w:t xml:space="preserve"> </w:t>
      </w:r>
      <w:r w:rsidR="006477D4">
        <w:fldChar w:fldCharType="begin"/>
      </w:r>
      <w:r w:rsidR="004A47DD">
        <w:instrText xml:space="preserve"> ADDIN EN.CITE &lt;EndNote&gt;&lt;Cite&gt;&lt;Author&gt;Office for National Statistics&lt;/Author&gt;&lt;Year&gt;2009&lt;/Year&gt;&lt;RecNum&gt;1012&lt;/RecNum&gt;&lt;record&gt;&lt;rec-number&gt;1012&lt;/rec-number&gt;&lt;foreign-keys&gt;&lt;key app="EN" db-id="eevwfxrrzrfz57e0dvlxs9ase2wpv5edvdxe"&gt;1012&lt;/key&gt;&lt;/foreign-keys&gt;&lt;ref-type name="Report"&gt;27&lt;/ref-type&gt;&lt;contributors&gt;&lt;authors&gt;&lt;author&gt;Office for National Statistics,&lt;/author&gt;&lt;/authors&gt;&lt;tertiary-authors&gt;&lt;author&gt;Office for National Statistics,&lt;/author&gt;&lt;/tertiary-authors&gt;&lt;/contributors&gt;&lt;titles&gt;&lt;title&gt;Social Trends 2009&lt;/title&gt;&lt;/titles&gt;&lt;dates&gt;&lt;year&gt;2009&lt;/year&gt;&lt;/dates&gt;&lt;pub-location&gt;London&lt;/pub-location&gt;&lt;urls&gt;&lt;related-urls&gt;&lt;url&gt;http://www.statistics.gov.uk/socialtrends39/&lt;/url&gt;&lt;/related-urls&gt;&lt;/urls&gt;&lt;/record&gt;&lt;/Cite&gt;&lt;/EndNote&gt;</w:instrText>
      </w:r>
      <w:r w:rsidR="006477D4">
        <w:fldChar w:fldCharType="separate"/>
      </w:r>
      <w:r w:rsidR="006477D4">
        <w:rPr>
          <w:noProof/>
        </w:rPr>
        <w:t>[6]</w:t>
      </w:r>
      <w:r w:rsidR="006477D4">
        <w:fldChar w:fldCharType="end"/>
      </w:r>
      <w:r w:rsidR="00A95193">
        <w:t>.</w:t>
      </w:r>
    </w:p>
    <w:p w:rsidR="001F5764" w:rsidRDefault="001D3C39" w:rsidP="001F5764">
      <w:pPr>
        <w:pStyle w:val="ListParagraph"/>
        <w:keepNext/>
      </w:pPr>
      <w:r>
        <w:rPr>
          <w:noProof/>
          <w:sz w:val="24"/>
          <w:szCs w:val="24"/>
          <w:lang w:val="en-US"/>
        </w:rPr>
        <w:lastRenderedPageBreak/>
        <w:drawing>
          <wp:anchor distT="0" distB="0" distL="114300" distR="114300" simplePos="0" relativeHeight="251659264" behindDoc="0" locked="0" layoutInCell="1" allowOverlap="1">
            <wp:simplePos x="0" y="0"/>
            <wp:positionH relativeFrom="column">
              <wp:posOffset>480060</wp:posOffset>
            </wp:positionH>
            <wp:positionV relativeFrom="paragraph">
              <wp:posOffset>3662045</wp:posOffset>
            </wp:positionV>
            <wp:extent cx="5464810" cy="457200"/>
            <wp:effectExtent l="19050" t="0" r="2540" b="0"/>
            <wp:wrapThrough wrapText="bothSides">
              <wp:wrapPolygon edited="0">
                <wp:start x="-75" y="0"/>
                <wp:lineTo x="-75" y="20700"/>
                <wp:lineTo x="21610" y="20700"/>
                <wp:lineTo x="21610" y="0"/>
                <wp:lineTo x="-75" y="0"/>
              </wp:wrapPolygon>
            </wp:wrapThrough>
            <wp:docPr id="19" name="Picture 14" descr="103 elec use survey in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 elec use survey income.jpg"/>
                    <pic:cNvPicPr/>
                  </pic:nvPicPr>
                  <pic:blipFill>
                    <a:blip r:embed="rId10">
                      <a:grayscl/>
                    </a:blip>
                    <a:srcRect t="89169"/>
                    <a:stretch>
                      <a:fillRect/>
                    </a:stretch>
                  </pic:blipFill>
                  <pic:spPr>
                    <a:xfrm>
                      <a:off x="0" y="0"/>
                      <a:ext cx="5464810" cy="457200"/>
                    </a:xfrm>
                    <a:prstGeom prst="rect">
                      <a:avLst/>
                    </a:prstGeom>
                  </pic:spPr>
                </pic:pic>
              </a:graphicData>
            </a:graphic>
          </wp:anchor>
        </w:drawing>
      </w:r>
      <w:r w:rsidR="00A87E28">
        <w:rPr>
          <w:noProof/>
          <w:sz w:val="24"/>
          <w:szCs w:val="24"/>
          <w:lang w:val="en-US"/>
        </w:rPr>
        <w:drawing>
          <wp:anchor distT="0" distB="0" distL="114300" distR="114300" simplePos="0" relativeHeight="251658240" behindDoc="0" locked="0" layoutInCell="1" allowOverlap="1">
            <wp:simplePos x="0" y="0"/>
            <wp:positionH relativeFrom="column">
              <wp:posOffset>22860</wp:posOffset>
            </wp:positionH>
            <wp:positionV relativeFrom="paragraph">
              <wp:posOffset>-59055</wp:posOffset>
            </wp:positionV>
            <wp:extent cx="5804535" cy="3869690"/>
            <wp:effectExtent l="19050" t="0" r="5715" b="0"/>
            <wp:wrapThrough wrapText="bothSides">
              <wp:wrapPolygon edited="0">
                <wp:start x="-71" y="0"/>
                <wp:lineTo x="-71" y="21267"/>
                <wp:lineTo x="21621" y="21267"/>
                <wp:lineTo x="21621" y="0"/>
                <wp:lineTo x="-71" y="0"/>
              </wp:wrapPolygon>
            </wp:wrapThrough>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grayscl/>
                    </a:blip>
                    <a:srcRect/>
                    <a:stretch>
                      <a:fillRect/>
                    </a:stretch>
                  </pic:blipFill>
                  <pic:spPr bwMode="auto">
                    <a:xfrm>
                      <a:off x="0" y="0"/>
                      <a:ext cx="5804535" cy="3869690"/>
                    </a:xfrm>
                    <a:prstGeom prst="rect">
                      <a:avLst/>
                    </a:prstGeom>
                    <a:noFill/>
                    <a:ln w="9525">
                      <a:noFill/>
                      <a:miter lim="800000"/>
                      <a:headEnd/>
                      <a:tailEnd/>
                    </a:ln>
                  </pic:spPr>
                </pic:pic>
              </a:graphicData>
            </a:graphic>
          </wp:anchor>
        </w:drawing>
      </w:r>
    </w:p>
    <w:p w:rsidR="00CF40AA" w:rsidRPr="00EA40BF" w:rsidRDefault="001F5764" w:rsidP="00CF40AA">
      <w:pPr>
        <w:pStyle w:val="Caption"/>
        <w:jc w:val="center"/>
        <w:rPr>
          <w:rFonts w:ascii="Times New Roman" w:hAnsi="Times New Roman" w:cs="Times New Roman"/>
          <w:b w:val="0"/>
          <w:color w:val="auto"/>
          <w:sz w:val="22"/>
          <w:szCs w:val="22"/>
        </w:rPr>
      </w:pPr>
      <w:r w:rsidRPr="001F5764">
        <w:rPr>
          <w:rFonts w:ascii="Times New Roman" w:hAnsi="Times New Roman" w:cs="Times New Roman"/>
          <w:b w:val="0"/>
          <w:color w:val="auto"/>
          <w:sz w:val="22"/>
          <w:szCs w:val="22"/>
        </w:rPr>
        <w:t xml:space="preserve">Figure </w:t>
      </w:r>
      <w:r w:rsidR="00EE0747" w:rsidRPr="001F5764">
        <w:rPr>
          <w:rFonts w:ascii="Times New Roman" w:hAnsi="Times New Roman" w:cs="Times New Roman"/>
          <w:b w:val="0"/>
          <w:color w:val="auto"/>
          <w:sz w:val="22"/>
          <w:szCs w:val="22"/>
        </w:rPr>
        <w:fldChar w:fldCharType="begin"/>
      </w:r>
      <w:r w:rsidRPr="001F5764">
        <w:rPr>
          <w:rFonts w:ascii="Times New Roman" w:hAnsi="Times New Roman" w:cs="Times New Roman"/>
          <w:b w:val="0"/>
          <w:color w:val="auto"/>
          <w:sz w:val="22"/>
          <w:szCs w:val="22"/>
        </w:rPr>
        <w:instrText xml:space="preserve"> SEQ Figure \* ARABIC </w:instrText>
      </w:r>
      <w:r w:rsidR="00EE0747" w:rsidRPr="001F5764">
        <w:rPr>
          <w:rFonts w:ascii="Times New Roman" w:hAnsi="Times New Roman" w:cs="Times New Roman"/>
          <w:b w:val="0"/>
          <w:color w:val="auto"/>
          <w:sz w:val="22"/>
          <w:szCs w:val="22"/>
        </w:rPr>
        <w:fldChar w:fldCharType="separate"/>
      </w:r>
      <w:r w:rsidR="0006332F">
        <w:rPr>
          <w:rFonts w:ascii="Times New Roman" w:hAnsi="Times New Roman" w:cs="Times New Roman"/>
          <w:b w:val="0"/>
          <w:noProof/>
          <w:color w:val="auto"/>
          <w:sz w:val="22"/>
          <w:szCs w:val="22"/>
        </w:rPr>
        <w:t>3</w:t>
      </w:r>
      <w:r w:rsidR="00EE0747" w:rsidRPr="001F5764">
        <w:rPr>
          <w:rFonts w:ascii="Times New Roman" w:hAnsi="Times New Roman" w:cs="Times New Roman"/>
          <w:b w:val="0"/>
          <w:color w:val="auto"/>
          <w:sz w:val="22"/>
          <w:szCs w:val="22"/>
        </w:rPr>
        <w:fldChar w:fldCharType="end"/>
      </w:r>
      <w:r w:rsidRPr="001F5764">
        <w:rPr>
          <w:rFonts w:ascii="Times New Roman" w:hAnsi="Times New Roman" w:cs="Times New Roman"/>
          <w:b w:val="0"/>
          <w:color w:val="auto"/>
          <w:sz w:val="22"/>
          <w:szCs w:val="22"/>
        </w:rPr>
        <w:t>: electricity consumption per household v income per household</w:t>
      </w:r>
      <w:r w:rsidR="00EA40BF">
        <w:rPr>
          <w:rFonts w:ascii="Times New Roman" w:hAnsi="Times New Roman" w:cs="Times New Roman"/>
          <w:b w:val="0"/>
          <w:color w:val="auto"/>
          <w:sz w:val="22"/>
          <w:szCs w:val="22"/>
        </w:rPr>
        <w:t xml:space="preserve"> for </w:t>
      </w:r>
      <w:r w:rsidR="00EA40BF" w:rsidRPr="00EA40BF">
        <w:rPr>
          <w:rFonts w:ascii="Times New Roman" w:hAnsi="Times New Roman" w:cs="Times New Roman"/>
          <w:b w:val="0"/>
          <w:color w:val="auto"/>
          <w:sz w:val="22"/>
          <w:szCs w:val="22"/>
        </w:rPr>
        <w:t>6758</w:t>
      </w:r>
      <w:r w:rsidR="00EA40BF">
        <w:rPr>
          <w:rFonts w:ascii="Times New Roman" w:hAnsi="Times New Roman" w:cs="Times New Roman"/>
          <w:b w:val="0"/>
          <w:color w:val="auto"/>
          <w:sz w:val="22"/>
          <w:szCs w:val="22"/>
        </w:rPr>
        <w:t xml:space="preserve"> MLSOAs</w:t>
      </w:r>
      <w:r w:rsidR="00CF40AA">
        <w:rPr>
          <w:rFonts w:ascii="Times New Roman" w:hAnsi="Times New Roman" w:cs="Times New Roman"/>
          <w:b w:val="0"/>
          <w:color w:val="auto"/>
          <w:sz w:val="22"/>
          <w:szCs w:val="22"/>
        </w:rPr>
        <w:br/>
        <w:t>Regression Equation (EHCS): Electricity = 2750.521 + 22.43517*Income</w:t>
      </w:r>
      <w:r w:rsidR="00EA40BF">
        <w:rPr>
          <w:rFonts w:ascii="Times New Roman" w:hAnsi="Times New Roman" w:cs="Times New Roman"/>
          <w:b w:val="0"/>
          <w:color w:val="auto"/>
          <w:sz w:val="22"/>
          <w:szCs w:val="22"/>
        </w:rPr>
        <w:t xml:space="preserve"> R</w:t>
      </w:r>
      <w:r w:rsidR="00EA40BF">
        <w:rPr>
          <w:rFonts w:ascii="Times New Roman" w:hAnsi="Times New Roman" w:cs="Times New Roman"/>
          <w:b w:val="0"/>
          <w:color w:val="auto"/>
          <w:sz w:val="22"/>
          <w:szCs w:val="22"/>
          <w:vertAlign w:val="superscript"/>
        </w:rPr>
        <w:t>2</w:t>
      </w:r>
      <w:r w:rsidR="00EA40BF">
        <w:rPr>
          <w:rFonts w:ascii="Times New Roman" w:hAnsi="Times New Roman" w:cs="Times New Roman"/>
          <w:b w:val="0"/>
          <w:color w:val="auto"/>
          <w:sz w:val="22"/>
          <w:szCs w:val="22"/>
        </w:rPr>
        <w:t>=0.3834</w:t>
      </w:r>
      <w:r w:rsidR="00CF40AA">
        <w:rPr>
          <w:rFonts w:ascii="Times New Roman" w:hAnsi="Times New Roman" w:cs="Times New Roman"/>
          <w:b w:val="0"/>
          <w:color w:val="auto"/>
          <w:sz w:val="22"/>
          <w:szCs w:val="22"/>
        </w:rPr>
        <w:br/>
        <w:t>Regression Equation (BREDEM): Electricity = 942.5958 + 11.34131*Income</w:t>
      </w:r>
      <w:r w:rsidR="00EA40BF">
        <w:rPr>
          <w:rFonts w:ascii="Times New Roman" w:hAnsi="Times New Roman" w:cs="Times New Roman"/>
          <w:b w:val="0"/>
          <w:color w:val="auto"/>
          <w:sz w:val="22"/>
          <w:szCs w:val="22"/>
        </w:rPr>
        <w:t xml:space="preserve"> R</w:t>
      </w:r>
      <w:r w:rsidR="00EA40BF">
        <w:rPr>
          <w:rFonts w:ascii="Times New Roman" w:hAnsi="Times New Roman" w:cs="Times New Roman"/>
          <w:b w:val="0"/>
          <w:color w:val="auto"/>
          <w:sz w:val="22"/>
          <w:szCs w:val="22"/>
          <w:vertAlign w:val="superscript"/>
        </w:rPr>
        <w:t>2</w:t>
      </w:r>
      <w:r w:rsidR="00EA40BF">
        <w:rPr>
          <w:rFonts w:ascii="Times New Roman" w:hAnsi="Times New Roman" w:cs="Times New Roman"/>
          <w:b w:val="0"/>
          <w:color w:val="auto"/>
          <w:sz w:val="22"/>
          <w:szCs w:val="22"/>
        </w:rPr>
        <w:t>=0.1757</w:t>
      </w:r>
      <w:r w:rsidR="00CF40AA">
        <w:rPr>
          <w:rFonts w:ascii="Times New Roman" w:hAnsi="Times New Roman" w:cs="Times New Roman"/>
          <w:b w:val="0"/>
          <w:color w:val="auto"/>
          <w:sz w:val="22"/>
          <w:szCs w:val="22"/>
        </w:rPr>
        <w:br/>
        <w:t xml:space="preserve">Regression Equation (DECC): Electricity = </w:t>
      </w:r>
      <w:r w:rsidR="00EA40BF" w:rsidRPr="00EA40BF">
        <w:rPr>
          <w:rFonts w:ascii="Times New Roman" w:hAnsi="Times New Roman" w:cs="Times New Roman"/>
          <w:b w:val="0"/>
          <w:color w:val="auto"/>
          <w:sz w:val="22"/>
          <w:szCs w:val="22"/>
        </w:rPr>
        <w:t>2512.243 + 29.44699*</w:t>
      </w:r>
      <w:r w:rsidR="00EA40BF">
        <w:rPr>
          <w:rFonts w:ascii="Times New Roman" w:hAnsi="Times New Roman" w:cs="Times New Roman"/>
          <w:b w:val="0"/>
          <w:color w:val="auto"/>
          <w:sz w:val="22"/>
          <w:szCs w:val="22"/>
        </w:rPr>
        <w:t>Income R</w:t>
      </w:r>
      <w:r w:rsidR="00EA40BF">
        <w:rPr>
          <w:rFonts w:ascii="Times New Roman" w:hAnsi="Times New Roman" w:cs="Times New Roman"/>
          <w:b w:val="0"/>
          <w:color w:val="auto"/>
          <w:sz w:val="22"/>
          <w:szCs w:val="22"/>
          <w:vertAlign w:val="superscript"/>
        </w:rPr>
        <w:t>2</w:t>
      </w:r>
      <w:r w:rsidR="00EA40BF">
        <w:rPr>
          <w:rFonts w:ascii="Times New Roman" w:hAnsi="Times New Roman" w:cs="Times New Roman"/>
          <w:b w:val="0"/>
          <w:color w:val="auto"/>
          <w:sz w:val="22"/>
          <w:szCs w:val="22"/>
        </w:rPr>
        <w:t>=0.0572</w:t>
      </w:r>
    </w:p>
    <w:p w:rsidR="003B5407" w:rsidRPr="00D57BB2" w:rsidRDefault="0025513F" w:rsidP="00D57BB2">
      <w:pPr>
        <w:pStyle w:val="Heading1"/>
      </w:pPr>
      <w:r w:rsidRPr="00D57BB2">
        <w:t>References</w:t>
      </w:r>
    </w:p>
    <w:p w:rsidR="004A47DD" w:rsidRDefault="00EE0747" w:rsidP="004A47DD">
      <w:pPr>
        <w:pStyle w:val="Referenceslist"/>
        <w:numPr>
          <w:ilvl w:val="0"/>
          <w:numId w:val="0"/>
        </w:numPr>
        <w:rPr>
          <w:noProof/>
          <w:lang w:val="en-US"/>
        </w:rPr>
      </w:pPr>
      <w:r>
        <w:rPr>
          <w:lang w:val="en-US"/>
        </w:rPr>
        <w:fldChar w:fldCharType="begin"/>
      </w:r>
      <w:r w:rsidR="003B5407">
        <w:rPr>
          <w:lang w:val="en-US"/>
        </w:rPr>
        <w:instrText xml:space="preserve"> ADDIN EN.REFLIST </w:instrText>
      </w:r>
      <w:r>
        <w:rPr>
          <w:lang w:val="en-US"/>
        </w:rPr>
        <w:fldChar w:fldCharType="separate"/>
      </w:r>
      <w:r w:rsidR="004A47DD">
        <w:rPr>
          <w:noProof/>
          <w:lang w:val="en-US"/>
        </w:rPr>
        <w:t>[1]</w:t>
      </w:r>
      <w:r w:rsidR="004A47DD">
        <w:rPr>
          <w:noProof/>
          <w:lang w:val="en-US"/>
        </w:rPr>
        <w:tab/>
        <w:t>Department for Communities and Local Government, The Building Regulations 2000. Conservation of fuel and power. Approved document L1A, 2006 ed. ed., NBS, London 2006.</w:t>
      </w:r>
    </w:p>
    <w:p w:rsidR="004A47DD" w:rsidRDefault="004A47DD" w:rsidP="004A47DD">
      <w:pPr>
        <w:pStyle w:val="Referenceslist"/>
        <w:numPr>
          <w:ilvl w:val="0"/>
          <w:numId w:val="0"/>
        </w:numPr>
        <w:rPr>
          <w:noProof/>
          <w:lang w:val="en-US"/>
        </w:rPr>
      </w:pPr>
      <w:r>
        <w:rPr>
          <w:noProof/>
          <w:lang w:val="en-US"/>
        </w:rPr>
        <w:t>[2]</w:t>
      </w:r>
      <w:r>
        <w:rPr>
          <w:noProof/>
          <w:lang w:val="en-US"/>
        </w:rPr>
        <w:tab/>
        <w:t>Department of Energy and Climate Change, Guidance note for the DECC MLSOA/IGZ electricity and gas consumption data, in: D.f.E.a.C. Change (Ed.), London 2009.</w:t>
      </w:r>
    </w:p>
    <w:p w:rsidR="004A47DD" w:rsidRDefault="004A47DD" w:rsidP="004A47DD">
      <w:pPr>
        <w:pStyle w:val="Referenceslist"/>
        <w:numPr>
          <w:ilvl w:val="0"/>
          <w:numId w:val="0"/>
        </w:numPr>
        <w:rPr>
          <w:noProof/>
          <w:lang w:val="en-US"/>
        </w:rPr>
      </w:pPr>
      <w:r>
        <w:rPr>
          <w:noProof/>
          <w:lang w:val="en-US"/>
        </w:rPr>
        <w:t>[3]</w:t>
      </w:r>
      <w:r>
        <w:rPr>
          <w:noProof/>
          <w:lang w:val="en-US"/>
        </w:rPr>
        <w:tab/>
        <w:t>Department for Communities and Local Government, English House Condition Survey (EHCS), Department for Communities and Local Government, London 2010.</w:t>
      </w:r>
    </w:p>
    <w:p w:rsidR="004A47DD" w:rsidRDefault="004A47DD" w:rsidP="004A47DD">
      <w:pPr>
        <w:pStyle w:val="Referenceslist"/>
        <w:numPr>
          <w:ilvl w:val="0"/>
          <w:numId w:val="0"/>
        </w:numPr>
        <w:rPr>
          <w:noProof/>
          <w:lang w:val="en-US"/>
        </w:rPr>
      </w:pPr>
      <w:r>
        <w:rPr>
          <w:noProof/>
          <w:lang w:val="en-US"/>
        </w:rPr>
        <w:t>[4]</w:t>
      </w:r>
      <w:r>
        <w:rPr>
          <w:noProof/>
          <w:lang w:val="en-US"/>
        </w:rPr>
        <w:tab/>
        <w:t>Market Transformation Programme, BNCK01: Assumptions underlying the energy projections of cooking appliances, 3.2 ed., Didcot, UK 2008.</w:t>
      </w:r>
    </w:p>
    <w:p w:rsidR="004A47DD" w:rsidRDefault="004A47DD" w:rsidP="004A47DD">
      <w:pPr>
        <w:pStyle w:val="Referenceslist"/>
        <w:numPr>
          <w:ilvl w:val="0"/>
          <w:numId w:val="0"/>
        </w:numPr>
        <w:rPr>
          <w:noProof/>
          <w:lang w:val="en-US"/>
        </w:rPr>
      </w:pPr>
      <w:r>
        <w:rPr>
          <w:noProof/>
          <w:lang w:val="en-US"/>
        </w:rPr>
        <w:t>[5]</w:t>
      </w:r>
      <w:r>
        <w:rPr>
          <w:noProof/>
          <w:lang w:val="en-US"/>
        </w:rPr>
        <w:tab/>
        <w:t>B.R. Anderson, BREDEM-12 : model description, 2001 update, CRC, London 2002.</w:t>
      </w:r>
    </w:p>
    <w:p w:rsidR="004A47DD" w:rsidRDefault="004A47DD" w:rsidP="004A47DD">
      <w:pPr>
        <w:pStyle w:val="Referenceslist"/>
        <w:numPr>
          <w:ilvl w:val="0"/>
          <w:numId w:val="0"/>
        </w:numPr>
        <w:rPr>
          <w:noProof/>
          <w:lang w:val="en-US"/>
        </w:rPr>
      </w:pPr>
      <w:r>
        <w:rPr>
          <w:noProof/>
          <w:lang w:val="en-US"/>
        </w:rPr>
        <w:t>[6]</w:t>
      </w:r>
      <w:r>
        <w:rPr>
          <w:noProof/>
          <w:lang w:val="en-US"/>
        </w:rPr>
        <w:tab/>
        <w:t>Office for National Statistics, Social Trends 2009, London 2009.</w:t>
      </w:r>
    </w:p>
    <w:p w:rsidR="004A47DD" w:rsidRDefault="004A47DD" w:rsidP="004A47DD">
      <w:pPr>
        <w:pStyle w:val="Referenceslist"/>
        <w:numPr>
          <w:ilvl w:val="0"/>
          <w:numId w:val="0"/>
        </w:numPr>
        <w:ind w:left="720"/>
        <w:rPr>
          <w:noProof/>
          <w:lang w:val="en-US"/>
        </w:rPr>
      </w:pPr>
    </w:p>
    <w:p w:rsidR="00C41463" w:rsidRPr="00722B3D" w:rsidRDefault="00EE0747" w:rsidP="00A96678">
      <w:pPr>
        <w:pStyle w:val="Referenceslist"/>
        <w:numPr>
          <w:ilvl w:val="0"/>
          <w:numId w:val="0"/>
        </w:numPr>
        <w:rPr>
          <w:lang w:val="en-US"/>
        </w:rPr>
      </w:pPr>
      <w:r>
        <w:rPr>
          <w:lang w:val="en-US"/>
        </w:rPr>
        <w:fldChar w:fldCharType="end"/>
      </w:r>
    </w:p>
    <w:sectPr w:rsidR="00C41463" w:rsidRPr="00722B3D" w:rsidSect="00EE20A9">
      <w:headerReference w:type="even" r:id="rId12"/>
      <w:headerReference w:type="default" r:id="rId13"/>
      <w:footerReference w:type="default" r:id="rId14"/>
      <w:pgSz w:w="11907" w:h="16840" w:code="9"/>
      <w:pgMar w:top="1985" w:right="1418" w:bottom="1418" w:left="1701" w:header="851" w:footer="851" w:gutter="0"/>
      <w:pgNumType w:start="1"/>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07A">
      <wne:fci wne:fciName="FormatStyle" wne:swArg="0000"/>
    </wne:keymap>
    <wne:keymap wne:kcmPrimary="0230">
      <wne:acd wne:acdName="acd8"/>
    </wne:keymap>
    <wne:keymap wne:kcmPrimary="0231">
      <wne:acd wne:acdName="acd0"/>
    </wne:keymap>
    <wne:keymap wne:kcmPrimary="0232">
      <wne:acd wne:acdName="acd3"/>
    </wne:keymap>
    <wne:keymap wne:kcmPrimary="0233">
      <wne:acd wne:acdName="acd4"/>
    </wne:keymap>
    <wne:keymap wne:kcmPrimary="0234">
      <wne:acd wne:acdName="acd5"/>
    </wne:keymap>
    <wne:keymap wne:kcmPrimary="0235">
      <wne:acd wne:acdName="acd6"/>
    </wne:keymap>
    <wne:keymap wne:kcmPrimary="0236">
      <wne:acd wne:acdName="acd9"/>
    </wne:keymap>
    <wne:keymap wne:kcmPrimary="0237">
      <wne:acd wne:acdName="acd10"/>
    </wne:keymap>
    <wne:keymap wne:kcmPrimary="0238">
      <wne:acd wne:acdName="acd11"/>
    </wne:keymap>
    <wne:keymap wne:kcmPrimary="0239">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Manifest>
    <wne:toolbarData r:id="rId1"/>
  </wne:toolbars>
  <wne:acds>
    <wne:acd wne:argValue="AgBOAGEAZABwAGkAcwAgADEAOwBDAGgAYQBwAHQAZQByAF8AdABpAHQAbABlAA==" wne:acdName="acd0" wne:fciIndexBasedOn="0065"/>
    <wne:acd wne:acdName="acd1" wne:fciIndexBasedOn="0065"/>
    <wne:acd wne:acdName="acd2" wne:fciIndexBasedOn="0065"/>
    <wne:acd wne:argValue="AgBOAGEAZABwAGkAcwAgADIAOwBTAHUAYgBoAGUAYQBkAF8AdABpAHQAbABlAF8AMgA=" wne:acdName="acd3" wne:fciIndexBasedOn="0065"/>
    <wne:acd wne:argValue="AgBOAGEAZABwAGkAcwAgADMAOwBTAHUAYgBoAGUAYQBkAF8AdABpAHQAbABlAF8AMwA=" wne:acdName="acd4" wne:fciIndexBasedOn="0065"/>
    <wne:acd wne:argValue="AgBUAGUAeAB0AF8AMQBzAHQAXwBwAGEAcgBhAGcAcgBhAHAAaAA=" wne:acdName="acd5" wne:fciIndexBasedOn="0065"/>
    <wne:acd wne:argValue="AgBUAGUAeAB0AF8AMgBuAGQAXwBwAGEAcgBhAGcAcgBhAHAAaAA=" wne:acdName="acd6" wne:fciIndexBasedOn="0065"/>
    <wne:acd wne:argValue="AgBiAG8AbABkAF8AYwBoAGEAcgA=" wne:acdName="acd7" wne:fciIndexBasedOn="0065"/>
    <wne:acd wne:argValue="AgBpAHQAYQBsAGkAYwBzAF8AYwBoAGEAcgA=" wne:acdName="acd8" wne:fciIndexBasedOn="0065"/>
    <wne:acd wne:argValue="AgBJAHQAZQBtAF8AMQA=" wne:acdName="acd9" wne:fciIndexBasedOn="0065"/>
    <wne:acd wne:argValue="AgBJAHQAZQBtAF8AMgA=" wne:acdName="acd10" wne:fciIndexBasedOn="0065"/>
    <wne:acd wne:argValue="AgBJAHQAZQBtAF8AMwA=" wne:acdName="acd11"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145F" w:rsidRDefault="00DE145F">
      <w:r>
        <w:separator/>
      </w:r>
    </w:p>
  </w:endnote>
  <w:endnote w:type="continuationSeparator" w:id="1">
    <w:p w:rsidR="00DE145F" w:rsidRDefault="00DE14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481" w:rsidRDefault="006C6481" w:rsidP="000324FE">
    <w:pPr>
      <w:pStyle w:val="Footerpgnum"/>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145F" w:rsidRDefault="00DE145F">
      <w:r>
        <w:separator/>
      </w:r>
    </w:p>
  </w:footnote>
  <w:footnote w:type="continuationSeparator" w:id="1">
    <w:p w:rsidR="00DE145F" w:rsidRDefault="00DE145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481" w:rsidRDefault="006C6481" w:rsidP="00611BBC">
    <w:pPr>
      <w:pStyle w:val="Header1L"/>
      <w:rPr>
        <w:rFonts w:cs="Tahoma"/>
      </w:rPr>
    </w:pPr>
    <w:r>
      <w:t xml:space="preserve">CESB 10 </w:t>
    </w:r>
    <w:smartTag w:uri="urn:schemas-microsoft-com:office:smarttags" w:element="place">
      <w:smartTag w:uri="urn:schemas-microsoft-com:office:smarttags" w:element="City">
        <w:r>
          <w:t>Prague</w:t>
        </w:r>
      </w:smartTag>
    </w:smartTag>
    <w:r>
      <w:t xml:space="preserve"> Conference</w:t>
    </w:r>
  </w:p>
  <w:p w:rsidR="006C6481" w:rsidRPr="00D27991" w:rsidRDefault="006C6481" w:rsidP="00611BBC">
    <w:pPr>
      <w:pStyle w:val="Header2L"/>
    </w:pPr>
    <w:r w:rsidRPr="00D27991">
      <w:t xml:space="preserve">Session </w:t>
    </w:r>
    <w:r>
      <w:t>XXX</w:t>
    </w:r>
    <w:r w:rsidRPr="00D27991">
      <w:t xml:space="preserve">: </w:t>
    </w:r>
    <w:r w:rsidRPr="00EE20A9">
      <w:t>xxxxxxxxxxxxxxxxxxxx</w:t>
    </w:r>
  </w:p>
  <w:p w:rsidR="006C6481" w:rsidRDefault="006C6481" w:rsidP="00DE5897">
    <w:pPr>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481" w:rsidRPr="00B96C77" w:rsidRDefault="006C6481" w:rsidP="00B96C77">
    <w:pPr>
      <w:pStyle w:val="Header1R"/>
    </w:pPr>
    <w:smartTag w:uri="urn:schemas-microsoft-com:office:smarttags" w:element="place">
      <w:r w:rsidRPr="00B96C77">
        <w:t>Central Europe</w:t>
      </w:r>
    </w:smartTag>
    <w:r w:rsidRPr="00B96C77">
      <w:t xml:space="preserve"> toward Sustainable Building 2010</w:t>
    </w:r>
  </w:p>
  <w:p w:rsidR="006C6481" w:rsidRPr="00D27991" w:rsidRDefault="006C6481" w:rsidP="00611BBC">
    <w:pPr>
      <w:pStyle w:val="Header2R"/>
    </w:pPr>
    <w:r w:rsidRPr="00D27991">
      <w:t xml:space="preserve">Session </w:t>
    </w:r>
    <w:r>
      <w:t>XXX</w:t>
    </w:r>
    <w:r w:rsidRPr="00D27991">
      <w:t xml:space="preserve">: </w:t>
    </w:r>
    <w:r w:rsidRPr="00EE20A9">
      <w:t>xxxxx</w:t>
    </w:r>
    <w:r>
      <w:t xml:space="preserve"> (will be added according to the final program)</w:t>
    </w:r>
  </w:p>
  <w:p w:rsidR="006C6481" w:rsidRDefault="006C648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C0897"/>
    <w:multiLevelType w:val="multilevel"/>
    <w:tmpl w:val="3F528FD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nsid w:val="0B9C1737"/>
    <w:multiLevelType w:val="hybridMultilevel"/>
    <w:tmpl w:val="A3B838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3A592C"/>
    <w:multiLevelType w:val="hybridMultilevel"/>
    <w:tmpl w:val="F24C02DC"/>
    <w:lvl w:ilvl="0" w:tplc="F2684A06">
      <w:start w:val="1"/>
      <w:numFmt w:val="decimal"/>
      <w:pStyle w:val="Referenceslist"/>
      <w:lvlText w:val="[%1]"/>
      <w:lvlJc w:val="left"/>
      <w:pPr>
        <w:tabs>
          <w:tab w:val="num" w:pos="567"/>
        </w:tabs>
        <w:ind w:left="567" w:hanging="567"/>
      </w:pPr>
      <w:rPr>
        <w:rFonts w:ascii="Times New Roman" w:hAnsi="Times New Roman" w:hint="default"/>
        <w:b w:val="0"/>
        <w:i w:val="0"/>
        <w:sz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nsid w:val="783C75EA"/>
    <w:multiLevelType w:val="hybridMultilevel"/>
    <w:tmpl w:val="D012EC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attachedTemplate r:id="rId1"/>
  <w:linkStyles/>
  <w:stylePaneFormatFilter w:val="1F08"/>
  <w:defaultTabStop w:val="567"/>
  <w:evenAndOddHeaders/>
  <w:noPunctuationKerning/>
  <w:characterSpacingControl w:val="doNotCompress"/>
  <w:footnotePr>
    <w:footnote w:id="0"/>
    <w:footnote w:id="1"/>
  </w:footnotePr>
  <w:endnotePr>
    <w:endnote w:id="0"/>
    <w:endnote w:id="1"/>
  </w:endnotePr>
  <w:compat/>
  <w:docVars>
    <w:docVar w:name="EN.InstantFormat" w:val="&lt;ENInstantFormat&gt;&lt;Enabled&gt;1&lt;/Enabled&gt;&lt;ScanUnformatted&gt;1&lt;/ScanUnformatted&gt;&lt;ScanChanges&gt;1&lt;/ScanChanges&gt;&lt;/ENInstantFormat&gt;"/>
    <w:docVar w:name="EN.Layout" w:val="&lt;ENLayout&gt;&lt;Style&gt;Applied Catalysis B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My EndNote Library.enl&lt;/item&gt;&lt;/Libraries&gt;&lt;/ENLibraries&gt;"/>
  </w:docVars>
  <w:rsids>
    <w:rsidRoot w:val="0026102B"/>
    <w:rsid w:val="000246DF"/>
    <w:rsid w:val="0002530C"/>
    <w:rsid w:val="00025571"/>
    <w:rsid w:val="000324FE"/>
    <w:rsid w:val="000359C2"/>
    <w:rsid w:val="0006332F"/>
    <w:rsid w:val="00063B8A"/>
    <w:rsid w:val="0008284F"/>
    <w:rsid w:val="000968E9"/>
    <w:rsid w:val="000A17E7"/>
    <w:rsid w:val="000A1EC0"/>
    <w:rsid w:val="000A4837"/>
    <w:rsid w:val="000B4C17"/>
    <w:rsid w:val="000C424F"/>
    <w:rsid w:val="000D5192"/>
    <w:rsid w:val="000D7C7A"/>
    <w:rsid w:val="000E0014"/>
    <w:rsid w:val="000E42CC"/>
    <w:rsid w:val="000E5DEE"/>
    <w:rsid w:val="00100F43"/>
    <w:rsid w:val="001030F6"/>
    <w:rsid w:val="00110FBB"/>
    <w:rsid w:val="001335DD"/>
    <w:rsid w:val="001344AD"/>
    <w:rsid w:val="00137086"/>
    <w:rsid w:val="00172CAB"/>
    <w:rsid w:val="0018124D"/>
    <w:rsid w:val="00186A2B"/>
    <w:rsid w:val="00190D79"/>
    <w:rsid w:val="00193695"/>
    <w:rsid w:val="001A056A"/>
    <w:rsid w:val="001A6431"/>
    <w:rsid w:val="001C5946"/>
    <w:rsid w:val="001D3C39"/>
    <w:rsid w:val="001D4D62"/>
    <w:rsid w:val="001F12FE"/>
    <w:rsid w:val="001F16AB"/>
    <w:rsid w:val="001F5764"/>
    <w:rsid w:val="002303AD"/>
    <w:rsid w:val="0023260B"/>
    <w:rsid w:val="0024019E"/>
    <w:rsid w:val="00246D39"/>
    <w:rsid w:val="002506C9"/>
    <w:rsid w:val="0025513F"/>
    <w:rsid w:val="0025713C"/>
    <w:rsid w:val="0026102B"/>
    <w:rsid w:val="002646E2"/>
    <w:rsid w:val="002715C1"/>
    <w:rsid w:val="002738D3"/>
    <w:rsid w:val="00296EAD"/>
    <w:rsid w:val="002B1ED8"/>
    <w:rsid w:val="002C0FD3"/>
    <w:rsid w:val="002C1D65"/>
    <w:rsid w:val="002C48C2"/>
    <w:rsid w:val="002C609C"/>
    <w:rsid w:val="002C7163"/>
    <w:rsid w:val="002C7BBC"/>
    <w:rsid w:val="002D2451"/>
    <w:rsid w:val="002D6E39"/>
    <w:rsid w:val="002F55EB"/>
    <w:rsid w:val="002F67D0"/>
    <w:rsid w:val="002F7B85"/>
    <w:rsid w:val="00300645"/>
    <w:rsid w:val="00302FC4"/>
    <w:rsid w:val="0031153C"/>
    <w:rsid w:val="00322A98"/>
    <w:rsid w:val="0032450C"/>
    <w:rsid w:val="00327765"/>
    <w:rsid w:val="00343290"/>
    <w:rsid w:val="00370F94"/>
    <w:rsid w:val="00382046"/>
    <w:rsid w:val="00391E62"/>
    <w:rsid w:val="003926B2"/>
    <w:rsid w:val="003B1DB6"/>
    <w:rsid w:val="003B5407"/>
    <w:rsid w:val="003C1404"/>
    <w:rsid w:val="003C1BFF"/>
    <w:rsid w:val="003E76EF"/>
    <w:rsid w:val="003F609E"/>
    <w:rsid w:val="00413F18"/>
    <w:rsid w:val="0042438E"/>
    <w:rsid w:val="00426D57"/>
    <w:rsid w:val="004314D4"/>
    <w:rsid w:val="00431CB2"/>
    <w:rsid w:val="004336CE"/>
    <w:rsid w:val="00433B93"/>
    <w:rsid w:val="00434743"/>
    <w:rsid w:val="00435DA1"/>
    <w:rsid w:val="00456EA5"/>
    <w:rsid w:val="00457064"/>
    <w:rsid w:val="00462553"/>
    <w:rsid w:val="00463B13"/>
    <w:rsid w:val="0046662F"/>
    <w:rsid w:val="004715C7"/>
    <w:rsid w:val="00483469"/>
    <w:rsid w:val="004835E3"/>
    <w:rsid w:val="00491C2D"/>
    <w:rsid w:val="004960EF"/>
    <w:rsid w:val="004975D4"/>
    <w:rsid w:val="004A24B7"/>
    <w:rsid w:val="004A47DD"/>
    <w:rsid w:val="004C003E"/>
    <w:rsid w:val="004C760A"/>
    <w:rsid w:val="004D2B8A"/>
    <w:rsid w:val="004D4B76"/>
    <w:rsid w:val="004F1098"/>
    <w:rsid w:val="005005F0"/>
    <w:rsid w:val="00507DA9"/>
    <w:rsid w:val="00525D0D"/>
    <w:rsid w:val="00527525"/>
    <w:rsid w:val="00542619"/>
    <w:rsid w:val="0055161D"/>
    <w:rsid w:val="0056352F"/>
    <w:rsid w:val="00574843"/>
    <w:rsid w:val="00582340"/>
    <w:rsid w:val="0059742C"/>
    <w:rsid w:val="00597B49"/>
    <w:rsid w:val="005A012E"/>
    <w:rsid w:val="005A7911"/>
    <w:rsid w:val="005B68EA"/>
    <w:rsid w:val="005C6C31"/>
    <w:rsid w:val="005E15EE"/>
    <w:rsid w:val="005E1C77"/>
    <w:rsid w:val="005E1D3B"/>
    <w:rsid w:val="005E1F33"/>
    <w:rsid w:val="005F3214"/>
    <w:rsid w:val="00611BBC"/>
    <w:rsid w:val="00623F94"/>
    <w:rsid w:val="00624F9F"/>
    <w:rsid w:val="00627E27"/>
    <w:rsid w:val="006343CE"/>
    <w:rsid w:val="00643B13"/>
    <w:rsid w:val="006477D4"/>
    <w:rsid w:val="00670C50"/>
    <w:rsid w:val="00670EEB"/>
    <w:rsid w:val="00682534"/>
    <w:rsid w:val="00691970"/>
    <w:rsid w:val="006C6481"/>
    <w:rsid w:val="006C7249"/>
    <w:rsid w:val="006D236A"/>
    <w:rsid w:val="006E20A5"/>
    <w:rsid w:val="006E5928"/>
    <w:rsid w:val="006E627C"/>
    <w:rsid w:val="006F1D96"/>
    <w:rsid w:val="00711F46"/>
    <w:rsid w:val="00722618"/>
    <w:rsid w:val="00722B3D"/>
    <w:rsid w:val="007252FB"/>
    <w:rsid w:val="0074013B"/>
    <w:rsid w:val="007529F0"/>
    <w:rsid w:val="00763373"/>
    <w:rsid w:val="007721AA"/>
    <w:rsid w:val="00780037"/>
    <w:rsid w:val="00783FE5"/>
    <w:rsid w:val="00786B60"/>
    <w:rsid w:val="007A2282"/>
    <w:rsid w:val="007A453F"/>
    <w:rsid w:val="007B2DC9"/>
    <w:rsid w:val="007B2E05"/>
    <w:rsid w:val="007C3E0B"/>
    <w:rsid w:val="007F6C21"/>
    <w:rsid w:val="007F7CF0"/>
    <w:rsid w:val="00803390"/>
    <w:rsid w:val="00806767"/>
    <w:rsid w:val="00807EA7"/>
    <w:rsid w:val="0082590E"/>
    <w:rsid w:val="008369CD"/>
    <w:rsid w:val="00837141"/>
    <w:rsid w:val="0084206A"/>
    <w:rsid w:val="00842232"/>
    <w:rsid w:val="00847CB2"/>
    <w:rsid w:val="00851009"/>
    <w:rsid w:val="00872506"/>
    <w:rsid w:val="008820E8"/>
    <w:rsid w:val="008929B6"/>
    <w:rsid w:val="00894FB7"/>
    <w:rsid w:val="008A2387"/>
    <w:rsid w:val="008A6E55"/>
    <w:rsid w:val="008B4CFC"/>
    <w:rsid w:val="008C4195"/>
    <w:rsid w:val="008C52A4"/>
    <w:rsid w:val="008C6E87"/>
    <w:rsid w:val="008D04FA"/>
    <w:rsid w:val="008E4D2F"/>
    <w:rsid w:val="008F41C5"/>
    <w:rsid w:val="00911BD0"/>
    <w:rsid w:val="00930781"/>
    <w:rsid w:val="00966937"/>
    <w:rsid w:val="009753D2"/>
    <w:rsid w:val="00980180"/>
    <w:rsid w:val="00983237"/>
    <w:rsid w:val="009958F2"/>
    <w:rsid w:val="009B1D9B"/>
    <w:rsid w:val="009E1A95"/>
    <w:rsid w:val="009F365A"/>
    <w:rsid w:val="00A012BC"/>
    <w:rsid w:val="00A14718"/>
    <w:rsid w:val="00A155B0"/>
    <w:rsid w:val="00A179BD"/>
    <w:rsid w:val="00A23C8A"/>
    <w:rsid w:val="00A40003"/>
    <w:rsid w:val="00A459AB"/>
    <w:rsid w:val="00A55028"/>
    <w:rsid w:val="00A551AB"/>
    <w:rsid w:val="00A568A2"/>
    <w:rsid w:val="00A56B8B"/>
    <w:rsid w:val="00A72416"/>
    <w:rsid w:val="00A73376"/>
    <w:rsid w:val="00A75B79"/>
    <w:rsid w:val="00A76A77"/>
    <w:rsid w:val="00A87E28"/>
    <w:rsid w:val="00A95193"/>
    <w:rsid w:val="00A96678"/>
    <w:rsid w:val="00AA51C7"/>
    <w:rsid w:val="00AA5AC1"/>
    <w:rsid w:val="00AD5D33"/>
    <w:rsid w:val="00AD65FD"/>
    <w:rsid w:val="00AE59D2"/>
    <w:rsid w:val="00AF3B9E"/>
    <w:rsid w:val="00B1143E"/>
    <w:rsid w:val="00B21239"/>
    <w:rsid w:val="00B259E7"/>
    <w:rsid w:val="00B25CD2"/>
    <w:rsid w:val="00B31DD7"/>
    <w:rsid w:val="00B31DE9"/>
    <w:rsid w:val="00B40CA7"/>
    <w:rsid w:val="00B46364"/>
    <w:rsid w:val="00B5703B"/>
    <w:rsid w:val="00B61E26"/>
    <w:rsid w:val="00B761F7"/>
    <w:rsid w:val="00B90522"/>
    <w:rsid w:val="00B96C77"/>
    <w:rsid w:val="00BA7EED"/>
    <w:rsid w:val="00BB53CE"/>
    <w:rsid w:val="00BD3A84"/>
    <w:rsid w:val="00BE618F"/>
    <w:rsid w:val="00BE7D0A"/>
    <w:rsid w:val="00C2430D"/>
    <w:rsid w:val="00C363EE"/>
    <w:rsid w:val="00C36461"/>
    <w:rsid w:val="00C41463"/>
    <w:rsid w:val="00C4430B"/>
    <w:rsid w:val="00C54323"/>
    <w:rsid w:val="00C56CF1"/>
    <w:rsid w:val="00C56D43"/>
    <w:rsid w:val="00C63EB8"/>
    <w:rsid w:val="00C67612"/>
    <w:rsid w:val="00C76D27"/>
    <w:rsid w:val="00C814F8"/>
    <w:rsid w:val="00C82F5F"/>
    <w:rsid w:val="00C8339C"/>
    <w:rsid w:val="00C84237"/>
    <w:rsid w:val="00C8547D"/>
    <w:rsid w:val="00C87883"/>
    <w:rsid w:val="00CA3854"/>
    <w:rsid w:val="00CB13E7"/>
    <w:rsid w:val="00CB4388"/>
    <w:rsid w:val="00CB77E2"/>
    <w:rsid w:val="00CC43C3"/>
    <w:rsid w:val="00CD3E15"/>
    <w:rsid w:val="00CD52BB"/>
    <w:rsid w:val="00CD59E8"/>
    <w:rsid w:val="00CE133C"/>
    <w:rsid w:val="00CF40AA"/>
    <w:rsid w:val="00CF6C28"/>
    <w:rsid w:val="00D07F7A"/>
    <w:rsid w:val="00D27991"/>
    <w:rsid w:val="00D360E3"/>
    <w:rsid w:val="00D40896"/>
    <w:rsid w:val="00D52179"/>
    <w:rsid w:val="00D54884"/>
    <w:rsid w:val="00D57BB2"/>
    <w:rsid w:val="00D64048"/>
    <w:rsid w:val="00D6637B"/>
    <w:rsid w:val="00D71788"/>
    <w:rsid w:val="00D74D58"/>
    <w:rsid w:val="00D7561A"/>
    <w:rsid w:val="00D77FFD"/>
    <w:rsid w:val="00D8099E"/>
    <w:rsid w:val="00D842EC"/>
    <w:rsid w:val="00D87C4E"/>
    <w:rsid w:val="00D87DB6"/>
    <w:rsid w:val="00D93B5E"/>
    <w:rsid w:val="00D93CC6"/>
    <w:rsid w:val="00D949D8"/>
    <w:rsid w:val="00D965C5"/>
    <w:rsid w:val="00DB2030"/>
    <w:rsid w:val="00DB2208"/>
    <w:rsid w:val="00DB2917"/>
    <w:rsid w:val="00DC7AF3"/>
    <w:rsid w:val="00DD0527"/>
    <w:rsid w:val="00DD18B2"/>
    <w:rsid w:val="00DE145F"/>
    <w:rsid w:val="00DE5897"/>
    <w:rsid w:val="00DF743F"/>
    <w:rsid w:val="00E14078"/>
    <w:rsid w:val="00E155C0"/>
    <w:rsid w:val="00E27994"/>
    <w:rsid w:val="00E30DD2"/>
    <w:rsid w:val="00E42C1C"/>
    <w:rsid w:val="00E42F1C"/>
    <w:rsid w:val="00E5000B"/>
    <w:rsid w:val="00E52F74"/>
    <w:rsid w:val="00E55032"/>
    <w:rsid w:val="00E5592A"/>
    <w:rsid w:val="00E84525"/>
    <w:rsid w:val="00E915BB"/>
    <w:rsid w:val="00E91813"/>
    <w:rsid w:val="00E95C0E"/>
    <w:rsid w:val="00EA285A"/>
    <w:rsid w:val="00EA40BF"/>
    <w:rsid w:val="00ED68A1"/>
    <w:rsid w:val="00EE0747"/>
    <w:rsid w:val="00EE20A9"/>
    <w:rsid w:val="00EE3D40"/>
    <w:rsid w:val="00EE509D"/>
    <w:rsid w:val="00EE5892"/>
    <w:rsid w:val="00EF2E2D"/>
    <w:rsid w:val="00EF5387"/>
    <w:rsid w:val="00F05F6E"/>
    <w:rsid w:val="00F10F66"/>
    <w:rsid w:val="00F1651F"/>
    <w:rsid w:val="00F166AA"/>
    <w:rsid w:val="00F17850"/>
    <w:rsid w:val="00F23EA5"/>
    <w:rsid w:val="00F3241C"/>
    <w:rsid w:val="00F33F39"/>
    <w:rsid w:val="00F41D95"/>
    <w:rsid w:val="00F5266A"/>
    <w:rsid w:val="00F53454"/>
    <w:rsid w:val="00F65194"/>
    <w:rsid w:val="00F73C8C"/>
    <w:rsid w:val="00F819B3"/>
    <w:rsid w:val="00F8205B"/>
    <w:rsid w:val="00F94810"/>
    <w:rsid w:val="00FB2009"/>
    <w:rsid w:val="00FB300E"/>
    <w:rsid w:val="00FC1D9E"/>
    <w:rsid w:val="00FD0F9C"/>
    <w:rsid w:val="00FD7CE6"/>
    <w:rsid w:val="00FF0FD2"/>
    <w:rsid w:val="00FF21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35" w:unhideWhenUsed="1" w:qFormat="1"/>
    <w:lsdException w:name="Title" w:qFormat="1"/>
    <w:lsdException w:name="Subtitle" w:qFormat="1"/>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F41C5"/>
    <w:pPr>
      <w:tabs>
        <w:tab w:val="left" w:pos="567"/>
        <w:tab w:val="left" w:pos="1134"/>
        <w:tab w:val="left" w:pos="1701"/>
      </w:tabs>
      <w:suppressAutoHyphens/>
      <w:jc w:val="both"/>
    </w:pPr>
    <w:rPr>
      <w:sz w:val="24"/>
      <w:lang w:val="cs-CZ" w:eastAsia="cs-CZ"/>
    </w:rPr>
  </w:style>
  <w:style w:type="paragraph" w:styleId="Heading1">
    <w:name w:val="heading 1"/>
    <w:aliases w:val="Heading_level1"/>
    <w:next w:val="Text1stparagraph"/>
    <w:qFormat/>
    <w:rsid w:val="002C7163"/>
    <w:pPr>
      <w:keepNext/>
      <w:keepLines/>
      <w:numPr>
        <w:numId w:val="1"/>
      </w:numPr>
      <w:spacing w:before="480" w:after="240"/>
      <w:contextualSpacing/>
      <w:outlineLvl w:val="0"/>
    </w:pPr>
    <w:rPr>
      <w:b/>
      <w:sz w:val="28"/>
      <w:szCs w:val="28"/>
      <w:lang w:val="en-GB" w:eastAsia="cs-CZ"/>
    </w:rPr>
  </w:style>
  <w:style w:type="paragraph" w:styleId="Heading2">
    <w:name w:val="heading 2"/>
    <w:aliases w:val="Heading_level2"/>
    <w:next w:val="Text1stparagraph"/>
    <w:qFormat/>
    <w:rsid w:val="002C7163"/>
    <w:pPr>
      <w:keepNext/>
      <w:numPr>
        <w:ilvl w:val="1"/>
        <w:numId w:val="1"/>
      </w:numPr>
      <w:spacing w:before="300" w:after="180"/>
      <w:contextualSpacing/>
      <w:outlineLvl w:val="1"/>
    </w:pPr>
    <w:rPr>
      <w:b/>
      <w:sz w:val="24"/>
      <w:lang w:val="en-GB" w:eastAsia="cs-CZ"/>
    </w:rPr>
  </w:style>
  <w:style w:type="paragraph" w:styleId="Heading3">
    <w:name w:val="heading 3"/>
    <w:aliases w:val="Heading_level3"/>
    <w:next w:val="Text1stparagraph"/>
    <w:qFormat/>
    <w:rsid w:val="00E95C0E"/>
    <w:pPr>
      <w:keepNext/>
      <w:numPr>
        <w:ilvl w:val="2"/>
        <w:numId w:val="1"/>
      </w:numPr>
      <w:spacing w:before="240" w:after="60"/>
      <w:ind w:left="578" w:hanging="578"/>
      <w:contextualSpacing/>
      <w:outlineLvl w:val="2"/>
    </w:pPr>
    <w:rPr>
      <w:b/>
      <w:sz w:val="24"/>
      <w:lang w:val="en-GB" w:eastAsia="cs-CZ"/>
    </w:rPr>
  </w:style>
  <w:style w:type="paragraph" w:styleId="Heading4">
    <w:name w:val="heading 4"/>
    <w:aliases w:val="Summary"/>
    <w:next w:val="Normal"/>
    <w:qFormat/>
    <w:rsid w:val="00E95C0E"/>
    <w:pPr>
      <w:keepNext/>
      <w:spacing w:before="480" w:after="240"/>
      <w:contextualSpacing/>
      <w:outlineLvl w:val="3"/>
    </w:pPr>
    <w:rPr>
      <w:b/>
      <w:bCs/>
      <w:sz w:val="28"/>
      <w:lang w:val="en-GB" w:eastAsia="cs-CZ"/>
    </w:rPr>
  </w:style>
  <w:style w:type="paragraph" w:styleId="Heading5">
    <w:name w:val="heading 5"/>
    <w:aliases w:val="Keywords"/>
    <w:next w:val="Normal"/>
    <w:qFormat/>
    <w:rsid w:val="000D5192"/>
    <w:pPr>
      <w:keepNext/>
      <w:tabs>
        <w:tab w:val="left" w:pos="1247"/>
      </w:tabs>
      <w:spacing w:before="360" w:after="120"/>
      <w:ind w:left="1247" w:hanging="1247"/>
      <w:contextualSpacing/>
      <w:outlineLvl w:val="4"/>
    </w:pPr>
    <w:rPr>
      <w:sz w:val="24"/>
      <w:lang w:val="en-GB" w:eastAsia="cs-CZ"/>
    </w:rPr>
  </w:style>
  <w:style w:type="paragraph" w:styleId="Heading6">
    <w:name w:val="heading 6"/>
    <w:aliases w:val="References"/>
    <w:qFormat/>
    <w:rsid w:val="005C6C31"/>
    <w:pPr>
      <w:keepNext/>
      <w:spacing w:before="480" w:after="240"/>
      <w:contextualSpacing/>
      <w:outlineLvl w:val="5"/>
    </w:pPr>
    <w:rPr>
      <w:rFonts w:cs="Tahoma"/>
      <w:b/>
      <w:sz w:val="28"/>
      <w:lang w:val="en-GB" w:eastAsia="cs-CZ"/>
    </w:rPr>
  </w:style>
  <w:style w:type="paragraph" w:styleId="Heading7">
    <w:name w:val="heading 7"/>
    <w:basedOn w:val="Normal"/>
    <w:next w:val="Normal"/>
    <w:qFormat/>
    <w:rsid w:val="008F41C5"/>
    <w:pPr>
      <w:numPr>
        <w:ilvl w:val="6"/>
        <w:numId w:val="1"/>
      </w:numPr>
      <w:spacing w:before="240" w:after="60"/>
      <w:outlineLvl w:val="6"/>
    </w:pPr>
  </w:style>
  <w:style w:type="paragraph" w:styleId="Heading8">
    <w:name w:val="heading 8"/>
    <w:basedOn w:val="Normal"/>
    <w:next w:val="Normal"/>
    <w:qFormat/>
    <w:rsid w:val="008F41C5"/>
    <w:pPr>
      <w:numPr>
        <w:ilvl w:val="7"/>
        <w:numId w:val="1"/>
      </w:numPr>
      <w:spacing w:before="240" w:after="60"/>
      <w:outlineLvl w:val="7"/>
    </w:pPr>
    <w:rPr>
      <w:i/>
      <w:iCs/>
    </w:rPr>
  </w:style>
  <w:style w:type="paragraph" w:styleId="Heading9">
    <w:name w:val="heading 9"/>
    <w:basedOn w:val="Normal"/>
    <w:next w:val="Normal"/>
    <w:qFormat/>
    <w:rsid w:val="008F41C5"/>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2715C1"/>
    <w:pPr>
      <w:tabs>
        <w:tab w:val="clear" w:pos="567"/>
        <w:tab w:val="clear" w:pos="1134"/>
        <w:tab w:val="clear" w:pos="1701"/>
        <w:tab w:val="center" w:pos="4536"/>
        <w:tab w:val="right" w:pos="9072"/>
      </w:tabs>
    </w:pPr>
  </w:style>
  <w:style w:type="paragraph" w:customStyle="1" w:styleId="Equations">
    <w:name w:val="Equations"/>
    <w:rsid w:val="00E95C0E"/>
    <w:pPr>
      <w:tabs>
        <w:tab w:val="right" w:pos="8789"/>
      </w:tabs>
      <w:spacing w:before="120" w:after="120"/>
      <w:ind w:firstLine="567"/>
    </w:pPr>
    <w:rPr>
      <w:rFonts w:cs="Arial"/>
      <w:sz w:val="24"/>
      <w:lang w:val="en-GB" w:eastAsia="cs-CZ"/>
    </w:rPr>
  </w:style>
  <w:style w:type="paragraph" w:customStyle="1" w:styleId="Item2">
    <w:name w:val="Item_2"/>
    <w:basedOn w:val="Item1"/>
    <w:rsid w:val="00E95C0E"/>
    <w:pPr>
      <w:tabs>
        <w:tab w:val="clear" w:pos="284"/>
        <w:tab w:val="left" w:pos="567"/>
      </w:tabs>
      <w:ind w:left="568"/>
    </w:pPr>
  </w:style>
  <w:style w:type="paragraph" w:customStyle="1" w:styleId="Item1">
    <w:name w:val="Item_1"/>
    <w:autoRedefine/>
    <w:rsid w:val="00E5592A"/>
    <w:pPr>
      <w:tabs>
        <w:tab w:val="num" w:pos="284"/>
      </w:tabs>
      <w:ind w:left="284" w:hanging="284"/>
    </w:pPr>
    <w:rPr>
      <w:sz w:val="24"/>
      <w:lang w:val="en-GB" w:eastAsia="cs-CZ"/>
    </w:rPr>
  </w:style>
  <w:style w:type="paragraph" w:styleId="DocumentMap">
    <w:name w:val="Document Map"/>
    <w:basedOn w:val="Normal"/>
    <w:semiHidden/>
    <w:rsid w:val="008F41C5"/>
    <w:pPr>
      <w:shd w:val="clear" w:color="auto" w:fill="000080"/>
    </w:pPr>
    <w:rPr>
      <w:rFonts w:ascii="Tahoma" w:hAnsi="Tahoma"/>
    </w:rPr>
  </w:style>
  <w:style w:type="paragraph" w:customStyle="1" w:styleId="Titlepaper">
    <w:name w:val="Title_paper"/>
    <w:next w:val="Normal"/>
    <w:rsid w:val="00E95C0E"/>
    <w:pPr>
      <w:spacing w:after="480"/>
      <w:contextualSpacing/>
      <w:outlineLvl w:val="0"/>
    </w:pPr>
    <w:rPr>
      <w:b/>
      <w:caps/>
      <w:sz w:val="32"/>
      <w:lang w:val="en-GB" w:eastAsia="cs-CZ"/>
    </w:rPr>
  </w:style>
  <w:style w:type="paragraph" w:customStyle="1" w:styleId="Tabletextleft">
    <w:name w:val="Table_text_left"/>
    <w:rsid w:val="00597B49"/>
    <w:rPr>
      <w:sz w:val="22"/>
      <w:lang w:val="en-GB" w:eastAsia="cs-CZ"/>
    </w:rPr>
  </w:style>
  <w:style w:type="paragraph" w:customStyle="1" w:styleId="Tablecaption">
    <w:name w:val="Table_caption"/>
    <w:rsid w:val="00E95C0E"/>
    <w:pPr>
      <w:keepNext/>
      <w:tabs>
        <w:tab w:val="num" w:pos="284"/>
        <w:tab w:val="left" w:pos="794"/>
      </w:tabs>
      <w:spacing w:before="240" w:after="60"/>
      <w:contextualSpacing/>
    </w:pPr>
    <w:rPr>
      <w:sz w:val="22"/>
      <w:lang w:val="en-GB" w:eastAsia="cs-CZ"/>
    </w:rPr>
  </w:style>
  <w:style w:type="paragraph" w:customStyle="1" w:styleId="Referenceslist">
    <w:name w:val="References_list"/>
    <w:link w:val="ReferenceslistCharChar"/>
    <w:rsid w:val="00A568A2"/>
    <w:pPr>
      <w:numPr>
        <w:numId w:val="2"/>
      </w:numPr>
      <w:spacing w:before="120"/>
    </w:pPr>
    <w:rPr>
      <w:sz w:val="24"/>
      <w:lang w:val="en-GB" w:eastAsia="cs-CZ"/>
    </w:rPr>
  </w:style>
  <w:style w:type="character" w:customStyle="1" w:styleId="ReferenceslistCharChar">
    <w:name w:val="References_list Char Char"/>
    <w:basedOn w:val="DefaultParagraphFont"/>
    <w:link w:val="Referenceslist"/>
    <w:rsid w:val="00A568A2"/>
    <w:rPr>
      <w:sz w:val="24"/>
      <w:lang w:val="en-GB" w:eastAsia="cs-CZ"/>
    </w:rPr>
  </w:style>
  <w:style w:type="paragraph" w:customStyle="1" w:styleId="Acknowledgement">
    <w:name w:val="Acknowledgement"/>
    <w:rsid w:val="00A14718"/>
    <w:pPr>
      <w:spacing w:before="360" w:after="360"/>
      <w:contextualSpacing/>
      <w:jc w:val="both"/>
    </w:pPr>
    <w:rPr>
      <w:i/>
      <w:iCs/>
      <w:sz w:val="24"/>
      <w:lang w:val="en-GB" w:eastAsia="cs-CZ"/>
    </w:rPr>
  </w:style>
  <w:style w:type="paragraph" w:styleId="BalloonText">
    <w:name w:val="Balloon Text"/>
    <w:basedOn w:val="Normal"/>
    <w:semiHidden/>
    <w:rsid w:val="008F41C5"/>
    <w:rPr>
      <w:rFonts w:ascii="Tahoma" w:hAnsi="Tahoma"/>
      <w:sz w:val="16"/>
      <w:szCs w:val="16"/>
    </w:rPr>
  </w:style>
  <w:style w:type="paragraph" w:customStyle="1" w:styleId="Item3">
    <w:name w:val="Item_3"/>
    <w:basedOn w:val="Item2"/>
    <w:rsid w:val="004314D4"/>
    <w:pPr>
      <w:tabs>
        <w:tab w:val="clear" w:pos="567"/>
        <w:tab w:val="left" w:pos="851"/>
      </w:tabs>
      <w:ind w:left="851"/>
    </w:pPr>
  </w:style>
  <w:style w:type="character" w:customStyle="1" w:styleId="italicschar">
    <w:name w:val="italics_char"/>
    <w:basedOn w:val="DefaultParagraphFont"/>
    <w:rsid w:val="00E95C0E"/>
    <w:rPr>
      <w:i/>
      <w:lang w:val="en-GB"/>
    </w:rPr>
  </w:style>
  <w:style w:type="paragraph" w:customStyle="1" w:styleId="Figurecaption">
    <w:name w:val="Figure_caption"/>
    <w:link w:val="FigurecaptionCharChar"/>
    <w:rsid w:val="00E95C0E"/>
    <w:pPr>
      <w:tabs>
        <w:tab w:val="num" w:pos="340"/>
      </w:tabs>
      <w:spacing w:before="120" w:after="240"/>
      <w:contextualSpacing/>
      <w:jc w:val="center"/>
    </w:pPr>
    <w:rPr>
      <w:bCs/>
      <w:sz w:val="22"/>
      <w:lang w:val="en-GB" w:eastAsia="cs-CZ"/>
    </w:rPr>
  </w:style>
  <w:style w:type="character" w:customStyle="1" w:styleId="FigurecaptionCharChar">
    <w:name w:val="Figure_caption Char Char"/>
    <w:basedOn w:val="DefaultParagraphFont"/>
    <w:link w:val="Figurecaption"/>
    <w:rsid w:val="00E95C0E"/>
    <w:rPr>
      <w:bCs/>
      <w:sz w:val="22"/>
      <w:lang w:val="en-GB" w:eastAsia="cs-CZ"/>
    </w:rPr>
  </w:style>
  <w:style w:type="paragraph" w:styleId="Header">
    <w:name w:val="header"/>
    <w:basedOn w:val="Normal"/>
    <w:rsid w:val="002715C1"/>
    <w:pPr>
      <w:tabs>
        <w:tab w:val="clear" w:pos="567"/>
        <w:tab w:val="clear" w:pos="1134"/>
        <w:tab w:val="clear" w:pos="1701"/>
        <w:tab w:val="center" w:pos="4536"/>
        <w:tab w:val="right" w:pos="9072"/>
      </w:tabs>
    </w:pPr>
  </w:style>
  <w:style w:type="character" w:styleId="CommentReference">
    <w:name w:val="annotation reference"/>
    <w:basedOn w:val="DefaultParagraphFont"/>
    <w:semiHidden/>
    <w:rsid w:val="006C6481"/>
    <w:rPr>
      <w:sz w:val="16"/>
      <w:szCs w:val="16"/>
    </w:rPr>
  </w:style>
  <w:style w:type="paragraph" w:customStyle="1" w:styleId="Authorname">
    <w:name w:val="Author_name"/>
    <w:rsid w:val="00B96C77"/>
    <w:pPr>
      <w:spacing w:before="200"/>
    </w:pPr>
    <w:rPr>
      <w:sz w:val="24"/>
      <w:lang w:val="en-GB" w:eastAsia="cs-CZ"/>
    </w:rPr>
  </w:style>
  <w:style w:type="paragraph" w:customStyle="1" w:styleId="Authorcontact">
    <w:name w:val="Author_contact"/>
    <w:rsid w:val="00AD5D33"/>
    <w:pPr>
      <w:spacing w:before="40"/>
    </w:pPr>
    <w:rPr>
      <w:i/>
      <w:lang w:val="en-GB" w:eastAsia="cs-CZ"/>
    </w:rPr>
  </w:style>
  <w:style w:type="paragraph" w:customStyle="1" w:styleId="Header1R">
    <w:name w:val="Header_1R"/>
    <w:rsid w:val="00B96C77"/>
    <w:pPr>
      <w:tabs>
        <w:tab w:val="center" w:pos="4153"/>
        <w:tab w:val="right" w:pos="8306"/>
      </w:tabs>
      <w:jc w:val="right"/>
    </w:pPr>
    <w:rPr>
      <w:sz w:val="24"/>
      <w:lang w:val="en-GB" w:eastAsia="cs-CZ"/>
    </w:rPr>
  </w:style>
  <w:style w:type="paragraph" w:customStyle="1" w:styleId="Header2R">
    <w:name w:val="Header_2R"/>
    <w:rsid w:val="00B96C77"/>
    <w:pPr>
      <w:pBdr>
        <w:bottom w:val="single" w:sz="4" w:space="1" w:color="auto"/>
      </w:pBdr>
      <w:tabs>
        <w:tab w:val="center" w:pos="4153"/>
        <w:tab w:val="right" w:pos="8306"/>
      </w:tabs>
      <w:jc w:val="right"/>
    </w:pPr>
    <w:rPr>
      <w:rFonts w:cs="Tahoma"/>
      <w:b/>
      <w:sz w:val="24"/>
      <w:lang w:val="en-GB" w:eastAsia="cs-CZ"/>
    </w:rPr>
  </w:style>
  <w:style w:type="paragraph" w:customStyle="1" w:styleId="Header1L">
    <w:name w:val="Header_1L"/>
    <w:rsid w:val="00B96C77"/>
    <w:pPr>
      <w:tabs>
        <w:tab w:val="center" w:pos="4153"/>
        <w:tab w:val="right" w:pos="8306"/>
      </w:tabs>
    </w:pPr>
    <w:rPr>
      <w:sz w:val="24"/>
      <w:lang w:val="en-GB" w:eastAsia="cs-CZ"/>
    </w:rPr>
  </w:style>
  <w:style w:type="paragraph" w:customStyle="1" w:styleId="Header2L">
    <w:name w:val="Header_2L"/>
    <w:rsid w:val="00B96C77"/>
    <w:pPr>
      <w:pBdr>
        <w:bottom w:val="single" w:sz="4" w:space="1" w:color="auto"/>
      </w:pBdr>
      <w:tabs>
        <w:tab w:val="center" w:pos="4153"/>
        <w:tab w:val="right" w:pos="8820"/>
      </w:tabs>
    </w:pPr>
    <w:rPr>
      <w:rFonts w:cs="Tahoma"/>
      <w:b/>
      <w:sz w:val="24"/>
      <w:lang w:val="en-GB" w:eastAsia="cs-CZ"/>
    </w:rPr>
  </w:style>
  <w:style w:type="paragraph" w:customStyle="1" w:styleId="Text1stparagraph">
    <w:name w:val="Text_1st_paragraph"/>
    <w:link w:val="Text1stparagraphChar"/>
    <w:rsid w:val="00C76D27"/>
    <w:pPr>
      <w:jc w:val="both"/>
    </w:pPr>
    <w:rPr>
      <w:sz w:val="24"/>
      <w:lang w:val="en-GB" w:eastAsia="cs-CZ"/>
    </w:rPr>
  </w:style>
  <w:style w:type="character" w:customStyle="1" w:styleId="Text1stparagraphChar">
    <w:name w:val="Text_1st_paragraph Char"/>
    <w:basedOn w:val="DefaultParagraphFont"/>
    <w:link w:val="Text1stparagraph"/>
    <w:rsid w:val="00C76D27"/>
    <w:rPr>
      <w:sz w:val="24"/>
      <w:lang w:val="en-GB" w:eastAsia="cs-CZ" w:bidi="ar-SA"/>
    </w:rPr>
  </w:style>
  <w:style w:type="character" w:customStyle="1" w:styleId="boldchar">
    <w:name w:val="bold_char"/>
    <w:basedOn w:val="DefaultParagraphFont"/>
    <w:rsid w:val="00E95C0E"/>
    <w:rPr>
      <w:b/>
      <w:lang w:val="en-GB"/>
    </w:rPr>
  </w:style>
  <w:style w:type="paragraph" w:customStyle="1" w:styleId="Text2ndparagraph">
    <w:name w:val="Text_2nd_paragraph"/>
    <w:basedOn w:val="Text1stparagraph"/>
    <w:link w:val="Text2ndparagraphChar"/>
    <w:rsid w:val="000D5192"/>
    <w:pPr>
      <w:ind w:firstLine="567"/>
    </w:pPr>
  </w:style>
  <w:style w:type="character" w:customStyle="1" w:styleId="Text2ndparagraphChar">
    <w:name w:val="Text_2nd_paragraph Char"/>
    <w:basedOn w:val="Text1stparagraphChar"/>
    <w:link w:val="Text2ndparagraph"/>
    <w:rsid w:val="000D5192"/>
  </w:style>
  <w:style w:type="paragraph" w:customStyle="1" w:styleId="Figures">
    <w:name w:val="Figures"/>
    <w:rsid w:val="00BD3A84"/>
    <w:pPr>
      <w:spacing w:before="300" w:after="120"/>
      <w:jc w:val="center"/>
    </w:pPr>
    <w:rPr>
      <w:sz w:val="24"/>
      <w:lang w:val="en-GB" w:eastAsia="cs-CZ"/>
    </w:rPr>
  </w:style>
  <w:style w:type="paragraph" w:styleId="CommentText">
    <w:name w:val="annotation text"/>
    <w:basedOn w:val="Normal"/>
    <w:semiHidden/>
    <w:rsid w:val="006C6481"/>
    <w:rPr>
      <w:sz w:val="20"/>
    </w:rPr>
  </w:style>
  <w:style w:type="paragraph" w:styleId="CommentSubject">
    <w:name w:val="annotation subject"/>
    <w:basedOn w:val="CommentText"/>
    <w:next w:val="CommentText"/>
    <w:semiHidden/>
    <w:rsid w:val="006C6481"/>
    <w:rPr>
      <w:b/>
      <w:bCs/>
    </w:rPr>
  </w:style>
  <w:style w:type="paragraph" w:customStyle="1" w:styleId="Tabletextcentre">
    <w:name w:val="Table_text_centre"/>
    <w:basedOn w:val="Tabletextleft"/>
    <w:rsid w:val="00190D79"/>
    <w:pPr>
      <w:jc w:val="center"/>
    </w:pPr>
  </w:style>
  <w:style w:type="paragraph" w:customStyle="1" w:styleId="Tabletextright">
    <w:name w:val="Table_text_right"/>
    <w:basedOn w:val="Tabletextleft"/>
    <w:rsid w:val="00190D79"/>
    <w:pPr>
      <w:jc w:val="right"/>
    </w:pPr>
  </w:style>
  <w:style w:type="paragraph" w:customStyle="1" w:styleId="Footerpgnum">
    <w:name w:val="Footer_pgnum"/>
    <w:rsid w:val="00E95C0E"/>
    <w:pPr>
      <w:widowControl w:val="0"/>
      <w:tabs>
        <w:tab w:val="center" w:pos="4394"/>
        <w:tab w:val="right" w:pos="8789"/>
      </w:tabs>
    </w:pPr>
    <w:rPr>
      <w:sz w:val="22"/>
      <w:lang w:val="en-GB" w:eastAsia="cs-CZ"/>
    </w:rPr>
  </w:style>
  <w:style w:type="character" w:styleId="Hyperlink">
    <w:name w:val="Hyperlink"/>
    <w:basedOn w:val="DefaultParagraphFont"/>
    <w:rsid w:val="00C2430D"/>
    <w:rPr>
      <w:color w:val="0000FF"/>
      <w:u w:val="single"/>
    </w:rPr>
  </w:style>
  <w:style w:type="character" w:styleId="FollowedHyperlink">
    <w:name w:val="FollowedHyperlink"/>
    <w:basedOn w:val="DefaultParagraphFont"/>
    <w:rsid w:val="00D64048"/>
    <w:rPr>
      <w:color w:val="800080"/>
      <w:u w:val="single"/>
    </w:rPr>
  </w:style>
  <w:style w:type="table" w:styleId="TableGrid">
    <w:name w:val="Table Grid"/>
    <w:basedOn w:val="TableNormal"/>
    <w:uiPriority w:val="59"/>
    <w:rsid w:val="003B5407"/>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3B5407"/>
    <w:pPr>
      <w:tabs>
        <w:tab w:val="clear" w:pos="567"/>
        <w:tab w:val="clear" w:pos="1134"/>
        <w:tab w:val="clear" w:pos="1701"/>
      </w:tabs>
      <w:suppressAutoHyphens w:val="0"/>
      <w:spacing w:after="200"/>
      <w:jc w:val="left"/>
    </w:pPr>
    <w:rPr>
      <w:rFonts w:asciiTheme="minorHAnsi" w:eastAsiaTheme="minorHAnsi" w:hAnsiTheme="minorHAnsi" w:cstheme="minorBidi"/>
      <w:b/>
      <w:bCs/>
      <w:color w:val="4F81BD" w:themeColor="accent1"/>
      <w:sz w:val="18"/>
      <w:szCs w:val="18"/>
      <w:lang w:val="en-GB" w:eastAsia="en-US"/>
    </w:rPr>
  </w:style>
  <w:style w:type="paragraph" w:styleId="ListParagraph">
    <w:name w:val="List Paragraph"/>
    <w:basedOn w:val="Normal"/>
    <w:uiPriority w:val="34"/>
    <w:qFormat/>
    <w:rsid w:val="00670C50"/>
    <w:pPr>
      <w:tabs>
        <w:tab w:val="clear" w:pos="567"/>
        <w:tab w:val="clear" w:pos="1134"/>
        <w:tab w:val="clear" w:pos="1701"/>
      </w:tabs>
      <w:suppressAutoHyphens w:val="0"/>
      <w:spacing w:after="200" w:line="276" w:lineRule="auto"/>
      <w:ind w:left="720"/>
      <w:contextualSpacing/>
      <w:jc w:val="left"/>
    </w:pPr>
    <w:rPr>
      <w:rFonts w:asciiTheme="minorHAnsi" w:eastAsiaTheme="minorHAnsi" w:hAnsiTheme="minorHAnsi" w:cstheme="minorBidi"/>
      <w:sz w:val="22"/>
      <w:szCs w:val="22"/>
      <w:lang w:val="en-GB" w:eastAsia="en-US"/>
    </w:rPr>
  </w:style>
</w:styles>
</file>

<file path=word/webSettings.xml><?xml version="1.0" encoding="utf-8"?>
<w:webSettings xmlns:r="http://schemas.openxmlformats.org/officeDocument/2006/relationships" xmlns:w="http://schemas.openxmlformats.org/wordprocessingml/2006/main">
  <w:divs>
    <w:div w:id="992295903">
      <w:bodyDiv w:val="1"/>
      <w:marLeft w:val="0"/>
      <w:marRight w:val="0"/>
      <w:marTop w:val="0"/>
      <w:marBottom w:val="0"/>
      <w:divBdr>
        <w:top w:val="none" w:sz="0" w:space="0" w:color="auto"/>
        <w:left w:val="none" w:sz="0" w:space="0" w:color="auto"/>
        <w:bottom w:val="none" w:sz="0" w:space="0" w:color="auto"/>
        <w:right w:val="none" w:sz="0" w:space="0" w:color="auto"/>
      </w:divBdr>
      <w:divsChild>
        <w:div w:id="688409864">
          <w:marLeft w:val="0"/>
          <w:marRight w:val="0"/>
          <w:marTop w:val="0"/>
          <w:marBottom w:val="0"/>
          <w:divBdr>
            <w:top w:val="none" w:sz="0" w:space="0" w:color="auto"/>
            <w:left w:val="none" w:sz="0" w:space="0" w:color="auto"/>
            <w:bottom w:val="none" w:sz="0" w:space="0" w:color="auto"/>
            <w:right w:val="none" w:sz="0" w:space="0" w:color="auto"/>
          </w:divBdr>
          <w:divsChild>
            <w:div w:id="1835141155">
              <w:marLeft w:val="0"/>
              <w:marRight w:val="0"/>
              <w:marTop w:val="0"/>
              <w:marBottom w:val="0"/>
              <w:divBdr>
                <w:top w:val="none" w:sz="0" w:space="0" w:color="auto"/>
                <w:left w:val="none" w:sz="0" w:space="0" w:color="auto"/>
                <w:bottom w:val="none" w:sz="0" w:space="0" w:color="auto"/>
                <w:right w:val="none" w:sz="0" w:space="0" w:color="auto"/>
              </w:divBdr>
              <w:divsChild>
                <w:div w:id="114944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windows-1250"/>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Vlastimil%20&#352;r&#367;ma\Data%20aplikac&#237;\Microsoft\&#352;ablony\&#268;BS07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ČBS07A</Template>
  <TotalTime>215</TotalTime>
  <Pages>4</Pages>
  <Words>2041</Words>
  <Characters>11640</Characters>
  <Application>Microsoft Office Word</Application>
  <DocSecurity>0</DocSecurity>
  <Lines>97</Lines>
  <Paragraphs>27</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CESB 07 Prague Master Layout</vt:lpstr>
      <vt:lpstr>CESB 07 Prague Master Layout</vt:lpstr>
    </vt:vector>
  </TitlesOfParts>
  <Company>CBS</Company>
  <LinksUpToDate>false</LinksUpToDate>
  <CharactersWithSpaces>13654</CharactersWithSpaces>
  <SharedDoc>false</SharedDoc>
  <HLinks>
    <vt:vector size="24" baseType="variant">
      <vt:variant>
        <vt:i4>3866746</vt:i4>
      </vt:variant>
      <vt:variant>
        <vt:i4>9</vt:i4>
      </vt:variant>
      <vt:variant>
        <vt:i4>0</vt:i4>
      </vt:variant>
      <vt:variant>
        <vt:i4>5</vt:i4>
      </vt:variant>
      <vt:variant>
        <vt:lpwstr>http://www.cesb.cz/en/registration</vt:lpwstr>
      </vt:variant>
      <vt:variant>
        <vt:lpwstr/>
      </vt:variant>
      <vt:variant>
        <vt:i4>3407875</vt:i4>
      </vt:variant>
      <vt:variant>
        <vt:i4>6</vt:i4>
      </vt:variant>
      <vt:variant>
        <vt:i4>0</vt:i4>
      </vt:variant>
      <vt:variant>
        <vt:i4>5</vt:i4>
      </vt:variant>
      <vt:variant>
        <vt:lpwstr>mailto:papers@cesb.cz</vt:lpwstr>
      </vt:variant>
      <vt:variant>
        <vt:lpwstr/>
      </vt:variant>
      <vt:variant>
        <vt:i4>3407875</vt:i4>
      </vt:variant>
      <vt:variant>
        <vt:i4>3</vt:i4>
      </vt:variant>
      <vt:variant>
        <vt:i4>0</vt:i4>
      </vt:variant>
      <vt:variant>
        <vt:i4>5</vt:i4>
      </vt:variant>
      <vt:variant>
        <vt:lpwstr>mailto:papers@cesb.cz</vt:lpwstr>
      </vt:variant>
      <vt:variant>
        <vt:lpwstr/>
      </vt:variant>
      <vt:variant>
        <vt:i4>5373959</vt:i4>
      </vt:variant>
      <vt:variant>
        <vt:i4>0</vt:i4>
      </vt:variant>
      <vt:variant>
        <vt:i4>0</vt:i4>
      </vt:variant>
      <vt:variant>
        <vt:i4>5</vt:i4>
      </vt:variant>
      <vt:variant>
        <vt:lpwstr>http://www.cesb.cz/en/papers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CESB 07 Prague Master Layout</dc:title>
  <dc:subject/>
  <dc:creator>CBS</dc:creator>
  <cp:keywords/>
  <cp:lastModifiedBy> </cp:lastModifiedBy>
  <cp:revision>26</cp:revision>
  <cp:lastPrinted>2010-03-11T16:54:00Z</cp:lastPrinted>
  <dcterms:created xsi:type="dcterms:W3CDTF">2010-03-11T13:30:00Z</dcterms:created>
  <dcterms:modified xsi:type="dcterms:W3CDTF">2010-03-12T12:03:00Z</dcterms:modified>
</cp:coreProperties>
</file>